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0823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14:paraId="40A0A5D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6E0605F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ТАРИФНОЕ СОГЛАШЕНИЕ</w:t>
      </w:r>
    </w:p>
    <w:p w14:paraId="782084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В СФЕРЕ ОБЯЗАТЕЛЬНОГО МЕДИЦИНСКОГО СТРАХОВАНИЯ</w:t>
      </w:r>
    </w:p>
    <w:p w14:paraId="127C182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НА ТЕРРИТОРИИ СТАВРОПОЛЬСКОГО КРАЯ</w:t>
      </w:r>
    </w:p>
    <w:p w14:paraId="3DB76D9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7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 </w:t>
      </w:r>
    </w:p>
    <w:p w14:paraId="40F49A3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74" w:lineRule="atLeast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(Ставрополь,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 25 декабря 2025 года)</w:t>
      </w:r>
    </w:p>
    <w:p w14:paraId="02CC1D3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88" w:lineRule="atLeast"/>
      </w:pPr>
      <w:r>
        <w:rPr>
          <w:rFonts w:ascii="Times New Roman" w:hAnsi="Times New Roman" w:eastAsia="Times New Roman" w:cs="Times New Roman"/>
          <w:color w:val="000000"/>
          <w:sz w:val="29"/>
        </w:rPr>
        <w:t> </w:t>
      </w:r>
    </w:p>
    <w:p w14:paraId="6B88E75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I. ОБЩИЕ ПОЛОЖЕНИЯ</w:t>
      </w:r>
    </w:p>
    <w:p w14:paraId="7E210A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548B335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1.1. Основания заключения тарифного соглашения</w:t>
      </w:r>
    </w:p>
    <w:p w14:paraId="7B3E823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2816C6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тарифное соглашение в сфере обязательного медицинского страхования на территории Ставропольского края (далее соответственно – тарифное соглашение, ОМС) заключено в соответствии с Федеральным </w:t>
      </w:r>
      <w:r>
        <w:fldChar w:fldCharType="begin"/>
      </w:r>
      <w:r>
        <w:instrText xml:space="preserve"> HYPERLINK "https://login.consultant.ru/link/?req=doc&amp;base=LAW&amp;n=497285&amp;dst=183&amp;field=134&amp;date=01.12.2025" \o "https://login.consultant.ru/link/?req=doc&amp;base=LAW&amp;n=497285&amp;dst=183&amp;field=134&amp;date=01.12.2025"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законом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от 29.11.2010 № 326-ФЗ «Об обязательном медицинском страховании в Российской Федерации» (далее – Федеральный закон), </w:t>
      </w:r>
      <w:r>
        <w:fldChar w:fldCharType="begin"/>
      </w:r>
      <w:r>
        <w:instrText xml:space="preserve"> HYPERLINK "https://login.consultant.ru/link/?req=doc&amp;base=LAW&amp;n=509657&amp;date=01.12.2025" \o "https://login.consultant.ru/link/?req=doc&amp;base=LAW&amp;n=509657&amp;date=01.12.2025"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приказом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Министерства здравоохранения Российской Федерации «Об утверждении Требований к структуре и содержанию тарифного соглашения», </w:t>
      </w:r>
      <w:r>
        <w:fldChar w:fldCharType="begin"/>
      </w:r>
      <w:r>
        <w:instrText xml:space="preserve"> HYPERLINK "https://login.consultant.ru/link/?req=doc&amp;base=LAW&amp;n=513923&amp;dst=100201&amp;field=134&amp;date=01.12.2025" \o "https://login.consultant.ru/link/?req=doc&amp;base=LAW&amp;n=513923&amp;dst=100201&amp;field=134&amp;date=01.12.2025"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Программой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государственных гарантий бесплатного оказания гражданам медицинской помощи на 2025 год и на плановый период 2026 и 2027 годов, утвержденной постановлением Правительства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от 27.12.2024 № 1940, Территориальной </w:t>
      </w:r>
      <w:r>
        <w:fldChar w:fldCharType="begin"/>
      </w:r>
      <w:r>
        <w:instrText xml:space="preserve"> HYPERLINK "https://login.consultant.ru/link/?req=doc&amp;base=RLAW077&amp;n=248068&amp;dst=100128&amp;field=134&amp;date=01.12.2025" \o "https://login.consultant.ru/link/?req=doc&amp;base=RLAW077&amp;n=248068&amp;dst=100128&amp;field=134&amp;date=01.12.2025"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программой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годов, утвержденной постановлением Правительства Ставропольского края от 25.12.2025 № 696-п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(далее – Территориальная программа).</w:t>
      </w:r>
    </w:p>
    <w:p w14:paraId="0CBDCE1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</w:p>
    <w:p w14:paraId="689934F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1.2. Предмет тарифного соглашения</w:t>
      </w:r>
    </w:p>
    <w:p w14:paraId="58916F9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5E731D3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1.2.1. Предметом тарифного соглашения является установление тарифов на оплату медицинской помощи, оказываемой за счет средств ОМС (далее – тариф) на территории Ставропольского края.</w:t>
      </w:r>
    </w:p>
    <w:p w14:paraId="0133CE2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1.2.2. Настоящее тарифное соглашение регулирует правоотношения сторон, а также страховых медицинских и медицинских организаций, участвующих в реализации территориальной программы ОМС (далее соответственно – страховая организация, медицинская организация), возникающие при формировании тарифов и их применении в рамках реализации территориальной программы ОМС.</w:t>
      </w:r>
    </w:p>
    <w:p w14:paraId="3B7755A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1.2.3. Основные термины, понятия и сокращения, применяемые в данном тарифном соглашении, приведены в </w:t>
      </w:r>
      <w:r>
        <w:fldChar w:fldCharType="begin"/>
      </w:r>
      <w:r>
        <w:instrText xml:space="preserve"> HYPERLINK "https://login.consultant.ru/link/?req=doc&amp;base=RLAW077&amp;n=246852&amp;dst=100322&amp;field=134&amp;date=01.12.2025" \o "https://login.consultant.ru/link/?req=doc&amp;base=RLAW077&amp;n=246852&amp;dst=100322&amp;field=134&amp;date=01.12.2025"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приложении 1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настоящему тарифному соглашению.</w:t>
      </w:r>
    </w:p>
    <w:p w14:paraId="6C1CB73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24AD80F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</w:p>
    <w:p w14:paraId="2F3A32D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1.3. Стороны тарифного соглашения</w:t>
      </w:r>
    </w:p>
    <w:p w14:paraId="66BC4B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60AF035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54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основании </w:t>
      </w:r>
      <w:r>
        <w:fldChar w:fldCharType="begin"/>
      </w:r>
      <w:r>
        <w:instrText xml:space="preserve"> HYPERLINK "https://login.consultant.ru/link/?req=doc&amp;base=LAW&amp;n=497285&amp;dst=100331&amp;field=134&amp;date=01.12.2025" \o "https://login.consultant.ru/link/?req=doc&amp;base=LAW&amp;n=497285&amp;dst=100331&amp;field=134&amp;date=01.12.2025"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статей 30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</w:t>
      </w:r>
      <w:r>
        <w:fldChar w:fldCharType="begin"/>
      </w:r>
      <w:r>
        <w:instrText xml:space="preserve"> HYPERLINK "https://login.consultant.ru/link/?req=doc&amp;base=LAW&amp;n=497285&amp;dst=100434&amp;field=134&amp;date=01.12.2025" \o "https://login.consultant.ru/link/?req=doc&amp;base=LAW&amp;n=497285&amp;dst=100434&amp;field=134&amp;date=01.12.2025"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36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Федерального закона, </w:t>
      </w:r>
      <w:r>
        <w:fldChar w:fldCharType="begin"/>
      </w:r>
      <w:r>
        <w:instrText xml:space="preserve"> HYPERLINK "https://login.consultant.ru/link/?req=doc&amp;base=LAW&amp;n=502639&amp;dst=100781&amp;field=134&amp;date=01.12.2025" \o "https://login.consultant.ru/link/?req=doc&amp;base=LAW&amp;n=502639&amp;dst=100781&amp;field=134&amp;date=01.12.2025"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статьи 79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Федерального закона от 21.11.2011 № 323-ФЗ «Об основах охраны здоровья граждан в Российской Федерации» сторонами тарифного соглашения являются министерство здравоохранения Ставропольского края (далее - министерство), Территориальный фонд обязательного медицинского страхования Ставропольского края (далее – фонд), акционерное общество «Страховая компания «СОГАЗ-Мед», общество с ограниченной ответственностью «Страховая компания «Ингосстрах-М», общественная организация «Врачи Ставропольского края», Ставропольская краевая организация профсоюза работников здравоохранения Российской Федерации в лице уполномоченных представителей.</w:t>
      </w:r>
    </w:p>
    <w:p w14:paraId="351FC08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1E29BD0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II. СПОСОБЫ ОПЛАТЫ МЕДИЦИНСКОЙ ПОМОЩИ</w:t>
      </w:r>
    </w:p>
    <w:p w14:paraId="42469CE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29FE031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 оплате медицинской помощи, оказываемой в рамках реализации территориальной программы обязательного медицинского страхования Ставропольского края применяются следующие способы оплаты:</w:t>
      </w:r>
    </w:p>
    <w:p w14:paraId="10C9538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169681D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2.1. При оплате медицинской помощи, оказанной в амбулаторных условиях:</w:t>
      </w:r>
    </w:p>
    <w:p w14:paraId="2700E5F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6883C13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2.1.1. По подушевому нормативу финансирования на прикрепившихся лиц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терапии (далее – молекулярно-генетические исследования и патолого-анатомические исследования биопсийного (операционного) материала), позитронной эмиссионной томографии и (или) позитронной эмиссионной томографии, совмещенной с компьютерной томографией, однофотонной эмиссионной компьютерной томографии и (или) однофотонной эмиссионной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компьютерной томографии, совмещенной с компьютерной томографией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включая все виды сцинтиграфических исследований (далее – ПЭТ/КТ и ОФЭКТ/ОФЭКТ-КТ), неинвазивного пренатального тестирования (определения внеклеточной ДНК плода по крови матери), вакцинацию для профилактики пневмококковых инфекций у лиц старше 65 лет, на 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здоровья,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также на оплату диспансерного наблюдения, включая диспансерное наблюдение работающих граждан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(или) обучающихся в образовательных организациях, посещений с профилактическими целями центров здоровья, включая диспансерное наблюдение; дистанционное наблюдение за состоянием здоровья пациентов с артериальной гипертензией и сахарным диабетом, 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фельдшерско-акушерских пунктов (фельдшерски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пунктов, фельдшерских здравпунктов) с учетом показателей результативности деятельности медицинской организации (включая показатели объема медицинской помощи), перечень которых установлен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приложении 2 к настоящему тарифному соглашению, в том числе с включением расходов на медицинскую помощь, оказываемую в иных медицинских организациях и оплачиваемую за единицу объема медицинской помощи.</w:t>
      </w:r>
    </w:p>
    <w:p w14:paraId="2197946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fldChar w:fldCharType="begin"/>
      </w:r>
      <w:r>
        <w:instrText xml:space="preserve"> HYPERLINK "https://login.consultant.ru/link/?req=doc&amp;base=RLAW077&amp;n=246852&amp;dst=100391&amp;field=134&amp;date=01.12.2025" \o "https://login.consultant.ru/link/?req=doc&amp;base=RLAW077&amp;n=246852&amp;dst=100391&amp;field=134&amp;date=01.12.2025"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Порядок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применения показателей результативности деятельности медицинских организаций на территории Ставропольского края установлен в приложении 2 к настоящему тарифному соглашению.</w:t>
      </w:r>
    </w:p>
    <w:p w14:paraId="4F24E2D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2.1.2. Перечень медицинских организаций, оказывающих медицинскую помощь в амбулаторных условиях (структурные подразделения медицинских организаций), имеющих прикрепившихся лиц, оплата медицинской помощи в которых осуществляется по ФДПн, определены в приложении 3 к настоящему тарифному соглашению.</w:t>
      </w:r>
    </w:p>
    <w:p w14:paraId="551F77D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2.1.3. За единицу объема медицинской помощи – за медицинскую услугу, посещение, обращение (законченный случай) при оплате:</w:t>
      </w:r>
    </w:p>
    <w:p w14:paraId="3345919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медицинской помощи, оказанной застрахованным лицам за пределами субъекта Российской Федерации, на территории которого выдан полис обязательного медицинского страхования;</w:t>
      </w:r>
    </w:p>
    <w:p w14:paraId="0EEEBB2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медицинской помощи, оказанной в медицинских организациях, не имеющих прикрепившихся лиц;</w:t>
      </w:r>
    </w:p>
    <w:p w14:paraId="778D84B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медицинской помощи, оказанной медицинской организацией (в том числе по направлениям, выданным иной медицинской организацией), источником финансового обеспечения которой являются средства подушевого норматива финансирования на прикрепившихся лиц, получаемые иной медицинской организацией;</w:t>
      </w:r>
    </w:p>
    <w:p w14:paraId="0B29C610">
      <w:pPr>
        <w:pStyle w:val="184"/>
        <w:spacing w:before="240"/>
        <w:ind w:firstLine="540"/>
        <w:jc w:val="both"/>
        <w:rPr>
          <w:rFonts w:eastAsia="Times New Roman"/>
          <w:color w:val="000000"/>
          <w:sz w:val="28"/>
          <w:szCs w:val="28"/>
          <w:highlight w:val="white"/>
        </w:rPr>
      </w:pPr>
      <w:r>
        <w:rPr>
          <w:rFonts w:eastAsia="Times New Roman"/>
          <w:color w:val="000000"/>
          <w:sz w:val="28"/>
          <w:szCs w:val="28"/>
        </w:rPr>
        <w:t>отдельных диагностических (лабораторных) исследований –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</w:t>
      </w:r>
      <w:r>
        <w:rPr>
          <w:rFonts w:eastAsia="Times New Roman"/>
          <w:color w:val="000000"/>
          <w:sz w:val="28"/>
          <w:szCs w:val="28"/>
          <w:highlight w:val="white"/>
        </w:rPr>
        <w:t xml:space="preserve">й биопсийного (операционного) материала, ПЭТ/КТ, ОФЭКТ/ОФЭКТ-КТ, </w:t>
      </w:r>
      <w:r>
        <w:rPr>
          <w:rFonts w:eastAsia="Times New Roman"/>
          <w:sz w:val="28"/>
          <w:szCs w:val="28"/>
          <w:highlight w:val="white"/>
        </w:rPr>
        <w:t xml:space="preserve">неинвазивного пренатального тестирования (определения внеклеточной ДНК плода по крови матери); </w:t>
      </w:r>
    </w:p>
    <w:p w14:paraId="5CA01C44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вакцинации для профилактики пневмококковых инфекций у лиц старше 65 лет, имеющих не менее 3 хронических неинфекционных заболеваний 1 раз в 5 лет;</w:t>
      </w:r>
    </w:p>
    <w:p w14:paraId="05694F59">
      <w:pPr>
        <w:pStyle w:val="184"/>
        <w:spacing w:before="240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профилактических медицинских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здоровья;</w:t>
      </w:r>
    </w:p>
    <w:p w14:paraId="3415B95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диспансерного наблюдения отдельных категорий граждан из числа взрослого населения, включая диспансерное наблюдение работающих граждан, и (или) обучающихся в образовательных организациях, а также диспансерного наблюдения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14:paraId="4074E8D2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посещений с профилактическими целями центров здоровья, включая диспансерное наблюдение;</w:t>
      </w:r>
    </w:p>
    <w:p w14:paraId="6014976E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дистанционного наблюдения за состоянием здоровья пациентов с артериальной гипертензией и сахарным диабетом;</w:t>
      </w:r>
    </w:p>
    <w:p w14:paraId="11023A52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представителями;</w:t>
      </w:r>
    </w:p>
    <w:p w14:paraId="1D8409B9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rFonts w:eastAsia="Times New Roman"/>
          <w:sz w:val="28"/>
          <w:szCs w:val="28"/>
          <w:highlight w:val="white"/>
        </w:rPr>
        <w:t>медицинской помощи при ее оказании пациентам с хроническими неинфекционными заболеваниями, в том числе с сахарным диабетом, в части ведения школ, в том числе сахарного диабета, и школ для беременных и по вопросам грудного вскармливания;</w:t>
      </w:r>
    </w:p>
    <w:p w14:paraId="6D75BEF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медицинской помощи по медицинской реабилитации (комплексное посещение).</w:t>
      </w:r>
    </w:p>
    <w:p w14:paraId="592B215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2.1.4. Медицинские организации, оказывающие медицинскую помощь в амбулаторных условиях (структурные подразделения медицинских организаций) и не имеющие прикрепившихся лиц, оплата медицинской помощи в которых осуществляется за единицу объема медицинской помощи, определены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приложении 3 к настоящему тарифному соглашению.</w:t>
      </w:r>
    </w:p>
    <w:p w14:paraId="66AB78F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5B4DBFC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2.2. При оплате медицинской помощи, оказанной в стационарных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условиях (далее – госпитализация), в том числе для медицинской реабилитации в специализированных медицинских организациях (структурных подразделениях):</w:t>
      </w:r>
    </w:p>
    <w:p w14:paraId="50C319C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67C08AA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2.2.1. За случай госпитализации (законченный случай лечения) по поводу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помощи), в том числе в сочетании с оплатой за услугу диализа.</w:t>
      </w:r>
    </w:p>
    <w:p w14:paraId="6094450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2.2.2. За прерванный случай госпитализации в случаях прерывания лечения по медицинским показаниям, перевода пациента из одного отделения медицинской организации в другое, изменения условий оказания медицинской помощи пациенту с круглосуточного стационара на дневной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лечения), за исключением случаев оказания медицинской помощи по группам заболеваний, состояний, приведенных в </w:t>
      </w:r>
      <w:r>
        <w:fldChar w:fldCharType="begin"/>
      </w:r>
      <w:r>
        <w:instrText xml:space="preserve"> HYPERLINK "https://login.consultant.ru/link/?req=doc&amp;base=RLAW077&amp;n=246852&amp;dst=101775&amp;field=134&amp;date=01.12.2025" \o "https://login.consultant.ru/link/?req=doc&amp;base=RLAW077&amp;n=246852&amp;dst=101775&amp;field=134&amp;date=01.12.2025"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приложении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4 к настоящему тарифному соглашению, в том числе в сочетании с оплатой за усл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угу диализа.</w:t>
      </w:r>
    </w:p>
    <w:p w14:paraId="3329940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2.2.3. 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 проведения патолого-анатомических вскрытий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медицинской деятельности, предусматривающие выполнение работ (услуг) по патологической анатомии, в случае смерти застрахованного лица при получении медицинской помощи в стационарных условиях (результат госпитализации) по поводу заболеваний и (или) состояний, включенных в базовую программу обязательного медицинского страхования, в указанных медицинских организациях.</w:t>
      </w:r>
    </w:p>
    <w:p w14:paraId="5D21CDD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709"/>
        </w:tabs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 этом возмещение расходов медицинской организации, имеющей в своей структуре патолого-анатомическое отделение, на проведение патолого-анатомических вскрытий осуществляются в рамках оплаты прерванного случая госпитализации по соответствующей КСГ.</w:t>
      </w:r>
    </w:p>
    <w:p w14:paraId="74E30C3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2.2.4.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"https://login.consultant.ru/link/?req=doc&amp;base=RLAW077&amp;n=246852&amp;dst=102523&amp;field=134&amp;date=01.12.2025" \o "https://login.consultant.ru/link/?req=doc&amp;base=RLAW077&amp;n=246852&amp;dst=102523&amp;field=134&amp;date=01.12.2025"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Перечень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медицинских организ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аций, оказывающих медицинскую помощь в стационарных условиях, определен в приложении 3 к настоящему тарифному соглашению.</w:t>
      </w:r>
    </w:p>
    <w:p w14:paraId="4557B88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514DD45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2.3. При оплате медицинской помощи, оказанной в условиях дневного стационара:</w:t>
      </w:r>
    </w:p>
    <w:p w14:paraId="31D84F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5280BDA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2.3.1. За случай (законченный случай) лечения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помощи), за услугу диализа (в том числе в сочетании с оплатой по клинико-статистической группе заболеваний, группе высокотехнологичной медицинской помощи).</w:t>
      </w:r>
    </w:p>
    <w:p w14:paraId="2FF974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2.3.2. За прерванный случай оказания медицинской помощи в случаях прерывания лечения по медицинским показаниям, перевода пациента из одного отделения медицинской организации в другое, изменения условий оказания медицинской помощи пациенту с дневного стационара на круглосуточный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лечения), за исключением случаев оказания медицинской помощи по группам заболеваний, состояний, предусмотренных </w:t>
      </w:r>
      <w:r>
        <w:fldChar w:fldCharType="begin"/>
      </w:r>
      <w:r>
        <w:instrText xml:space="preserve"> HYPERLINK "https://login.consultant.ru/link/?req=doc&amp;base=RLAW077&amp;n=246852&amp;dst=101775&amp;field=134&amp;date=01.12.2025" \o "https://login.consultant.ru/link/?req=doc&amp;base=RLAW077&amp;n=246852&amp;dst=101775&amp;field=134&amp;date=01.12.2025"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приложением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настоящему тарифному соглашению, в том числе с оплатой за услугу диализа (в том числе в сочетании с оплатой по клинико-статистической группе заболеваний, группе высокотехнологичной медицинской помощи).</w:t>
      </w:r>
    </w:p>
    <w:p w14:paraId="1004DB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2.3.3.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"https://login.consultant.ru/link/?req=doc&amp;base=RLAW077&amp;n=246852&amp;dst=103035&amp;field=134&amp;date=01.12.2025" \o "https://login.consultant.ru/link/?req=doc&amp;base=RLAW077&amp;n=246852&amp;dst=103035&amp;field=134&amp;date=01.12.2025"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Перечень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медицинских организаций, оказывающих медицинскую помощь в условиях дневного стационара, определен в приложении 3к настоящему тарифному соглашению.</w:t>
      </w:r>
    </w:p>
    <w:p w14:paraId="256CB88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56EF880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2.4. При оплате скорой медицинской помощи, оказанной вне медицинской организации:</w:t>
      </w:r>
    </w:p>
    <w:p w14:paraId="3E4259D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127DA37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2.4.1. По подушевому нормативу финансирования.</w:t>
      </w:r>
    </w:p>
    <w:p w14:paraId="78F5BB1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2.4.2. За единицу объема медицинской помощи – за вызов скорой медицинской помощи (используется при оплате медицинской пом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ощи, оказанной заст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рахованным лицам за пределами субъекта Российской Федерации, на территории которого выдан полис обязательного медицинского страхования, а также оказанной в отдельных медицинских организациях, не имеющих прикрепившихся лиц).</w:t>
      </w:r>
    </w:p>
    <w:p w14:paraId="0617428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2.4.3. Перечень медицинских организаций, оказывающих скорую медицинскую помощь, определен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приложении 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 настоящему тарифному соглашению.</w:t>
      </w:r>
    </w:p>
    <w:p w14:paraId="4560723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200B5A4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2.5. Особенности применения способов оплаты медицинской помощи</w:t>
      </w:r>
    </w:p>
    <w:p w14:paraId="6E93915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 </w:t>
      </w:r>
    </w:p>
    <w:p w14:paraId="2E3B82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highlight w:val="white"/>
        </w:rPr>
      </w:pPr>
      <w:r>
        <w:fldChar w:fldCharType="begin"/>
      </w:r>
      <w:r>
        <w:instrText xml:space="preserve"> HYPERLINK "https://login.consultant.ru/link/?req=doc&amp;base=RLAW077&amp;n=246852&amp;dst=103916&amp;field=134&amp;date=01.12.2025" \o "https://login.consultant.ru/link/?req=doc&amp;base=RLAW077&amp;n=246852&amp;dst=103916&amp;field=134&amp;date=01.12.2025"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Особенности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применения способов оплаты отдельных случаев оказания медицинской помощи установлены приложением 5 к настоящему тарифному соглашению.</w:t>
      </w:r>
    </w:p>
    <w:p w14:paraId="3C18EEA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238801E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III. ТАРИФЫ НА ОПЛАТУ МЕДИЦИНСКОЙ ПОМОЩИ</w:t>
      </w:r>
    </w:p>
    <w:p w14:paraId="33BE3CE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2433746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3.1. Размер и структура тарифов на оплату медицинской помощи</w:t>
      </w:r>
    </w:p>
    <w:p w14:paraId="6504C73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035B6D3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3.1.1. Размер и структура тарифов на оплату медицинской помощи определены в зависимости от формы, вида и условий оказания медицинской помощи по способам оплаты медицинской помощи, указанным в </w:t>
      </w:r>
      <w:r>
        <w:fldChar w:fldCharType="begin"/>
      </w:r>
      <w:r>
        <w:instrText xml:space="preserve"> HYPERLINK "file:///C:\\opt\\r7-office\\desktopeditors\\editors\\web-apps\\apps\\documenteditor\\main\\index.html" \l "p29" \o "file:///opt/r7-office/desktopeditors/editors/web-apps/apps/documenteditor/main/index.html?_dc=0&amp;lang=ru-RU&amp;frameEditorId=placeholder&amp;parentOrigin=file://#p29"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разделе 2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настоящего тарифного соглашения, в соответствии с Методическими рекомендациями по способам оплаты медицинской помощи за счет средств обязательного медицинского страхования, направленные совместным письмом Министерства здравоохранения Российской Федерации и Федерального фонда обязательного медицинского страхования.</w:t>
      </w:r>
    </w:p>
    <w:p w14:paraId="657A71F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3.1.2. Размер тарифа на оплату медицинской помощи определяется дифференцированно с учетом уровня медицинской организации (структурного подразделения). Распределение медицинских организаций (структурных подразделений) по уровням медицинской помощи указано в </w:t>
      </w:r>
      <w:r>
        <w:fldChar w:fldCharType="begin"/>
      </w:r>
      <w:r>
        <w:instrText xml:space="preserve"> HYPERLINK "https://login.consultant.ru/link/?req=doc&amp;base=RLAW077&amp;n=246852&amp;dst=100787&amp;field=134&amp;date=01.12.2025" \o "https://login.consultant.ru/link/?req=doc&amp;base=RLAW077&amp;n=246852&amp;dst=100787&amp;field=134&amp;date=01.12.2025"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приложении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fldChar w:fldCharType="begin"/>
      </w:r>
      <w:r>
        <w:instrText xml:space="preserve"> HYPERLINK "https://login.consultant.ru/link/?req=doc&amp;base=RLAW077&amp;n=246852&amp;dst=103652&amp;field=134&amp;date=01.12.2025" \o "https://login.consultant.ru/link/?req=doc&amp;base=RLAW077&amp;n=246852&amp;dst=103652&amp;field=134&amp;date=01.12.2025"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3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 настоящему тарифному соглашению. </w:t>
      </w:r>
    </w:p>
    <w:p w14:paraId="2573AC9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3.1.3. В соответствии с Территориальной программой структура тариф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 на оплату медицинской помощи включает в себя расходы в соответствии с </w:t>
      </w:r>
      <w:r>
        <w:fldChar w:fldCharType="begin"/>
      </w:r>
      <w:r>
        <w:instrText xml:space="preserve"> HYPERLINK "https://login.consultant.ru/link/?req=doc&amp;base=LAW&amp;n=497285&amp;dst=375&amp;field=134&amp;date=01.12.2025" \o "https://login.consultant.ru/link/?req=doc&amp;base=LAW&amp;n=497285&amp;dst=375&amp;field=134&amp;date=01.12.2025"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частями 7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"https://login.consultant.ru/link/?req=doc&amp;base=LAW&amp;n=497285&amp;dst=100432&amp;field=134&amp;date=01.12.2025" \o "https://login.consultant.ru/link/?req=doc&amp;base=LAW&amp;n=497285&amp;dst=100432&amp;field=134&amp;date=01.12.2025"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8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статьи 35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Федерального закона:</w:t>
      </w:r>
    </w:p>
    <w:p w14:paraId="61AFC5E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расходы на заработную плату, начисления на оплату труда, прочие выплаты;</w:t>
      </w:r>
    </w:p>
    <w:p w14:paraId="2F476A6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расходы на приобретение лекарственных средств, расходных материалов, медицинского инструментария, реактивов и химикатов;</w:t>
      </w:r>
    </w:p>
    <w:p w14:paraId="61CAFD6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расходы на приобретение продуктов питания;</w:t>
      </w:r>
    </w:p>
    <w:p w14:paraId="4368A43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расходы на приобретение мягкого инвентаря;</w:t>
      </w:r>
    </w:p>
    <w:p w14:paraId="2070FAF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расходы на приобретение материальных запасов, расходы на организацию питания (при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тсутствии организованного питания в медицинской организации),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расходы на оплату услуг связи, транспортных услуг,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коммунальных услуг, работ и услуг по содержанию имущества, включая расходы на техническое обслуживание и ремонт основных средств, расходы на арендную плату, в том числе за пользование имуществом,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финансовую аренду объектов (лизинг), а также выкуп предмета лизинга,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расходы на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 (оборудование, производственный и хозяйственный инвентарь) стоимостью до четырехсот тысяч рублей за единицу, а также допускается приобретение основных средств (медицинских изделий, используемых для проведения медицинских вмешательств, лабораторных и инструментальных исследований) стоимостью до 1 млн рублей при отсутствии у медицинской организации Ставропольского края не погашенной в течение 3 месяцев кредиторской задолженности за счет средств ОМС.</w:t>
      </w:r>
    </w:p>
    <w:p w14:paraId="2957E06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Средствами обязательного медицинского страхования компенсируются включенные в структуру тарифов и обусловленные оказанием медицинской помощи по обязательному медицинскому страхованию расходы (затраты) медицинских организаций.</w:t>
      </w:r>
    </w:p>
    <w:p w14:paraId="2B484B4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 счет средств обязательного медицинского страхования, полученных за оказание высокотехнологичной медицинской помощи, включенной в базовую программу обязательного медицинского страхования, предусматривается возможность приобретения единицы основных средств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вне зависимости от их стоимости.</w:t>
      </w:r>
    </w:p>
    <w:p w14:paraId="0F7D7CD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Финансовое обеспечение расходов, связанных с предоставлением пациентам с артериальной гипертензией и сахарным диабетом медицинских изделий, необходимыми для проведения дистанционного наблюдения в рамках базовой  программы обязательного медицинского страхования, а также расходов, связанных с использованием систем поддержки принятия врачебных решений не может осуществляться за счет средств обязательного медицинского страхования. Медицинские изделия, необходимые для проведения дистанционного наблюдения в рамках базовой программы обязательного медицинского страхования, могут быть приобретены за счет личных средств граждан или иных источников.</w:t>
      </w:r>
    </w:p>
    <w:p w14:paraId="5C2A78C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Направление средств, выделенных медицинской организации на оплату скорой медицинской помощи, на оплату расходов в целях оказания иных видов медицинской помощи не допускается.</w:t>
      </w:r>
    </w:p>
    <w:p w14:paraId="64693B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3.1.4. </w:t>
      </w:r>
      <w:r>
        <w:fldChar w:fldCharType="begin"/>
      </w:r>
      <w:r>
        <w:instrText xml:space="preserve"> HYPERLINK "https://login.consultant.ru/link/?req=doc&amp;base=RLAW077&amp;n=246852&amp;dst=104169&amp;field=134&amp;date=01.12.2025" \o "https://login.consultant.ru/link/?req=doc&amp;base=RLAW077&amp;n=246852&amp;dst=104169&amp;field=134&amp;date=01.12.2025"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Порядок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расчета тарифов на оплату медицинской помощи по ОМС на территории Ставропольского края приведен в приложении 6 к настоящему тарифному соглашению.</w:t>
      </w:r>
    </w:p>
    <w:p w14:paraId="342112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3.1.5. Значение коэффициента дифференциации установлено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1,002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для всей территории Ставропольского края.</w:t>
      </w:r>
    </w:p>
    <w:p w14:paraId="73DD626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0F15EE0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3.2. Тарифы на оплату медицинской помощи, оказываемой в амбулаторных условиях</w:t>
      </w:r>
    </w:p>
    <w:p w14:paraId="5758605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7474205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3.2.1. По тарифу ФДПн оплачивается оказываемая медицинскими организациями, имеющими прикрепившихся лиц, в амбулаторных условиях первичная медико-санитарная помощь за исключением медицинской помощи, указанной в </w:t>
      </w:r>
      <w:r>
        <w:fldChar w:fldCharType="begin"/>
      </w:r>
      <w:r>
        <w:instrText xml:space="preserve"> HYPERLINK "file:///C:\\opt\\r7-office\\desktopeditors\\editors\\web-apps\\apps\\documenteditor\\main\\index.html" \l "p111" \o "file:///opt/r7-office/desktopeditors/editors/web-apps/apps/documenteditor/main/index.html?_dc=0&amp;lang=ru-RU&amp;frameEditorId=placeholder&amp;parentOrigin=file://#p111"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пункте 3.2.6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настоящего тарифного соглашения, а также финансового обеспечения фельдшерских здравпунктов и фельдшерско-акушерских пунктов.</w:t>
      </w:r>
    </w:p>
    <w:p w14:paraId="2608F7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Подушевой норматив финансирования медицинской помощи в амбулаторных условиях (за исключением медицинской помощи по профилю «медицинская реабилитация», оказанной гражданам на дому) на прикрепившихся лиц включает в том числе расходы на оказание медицинской помощи с применением телемедицинских (дистанционных) технологий, за исключением расходов на оплату телемедицинских консультаций,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маломобильных граждан, имеющих физические ограничения, а также жителям отдаленных и малонаселенных районов,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проведенных медицинскими организациями, не имеющими прикрепленного населения, проведение по направлению лечащего врача медицинским психологом консультирования пациентов из числа ветеранов боевых действий,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его (ее) супруг(а), а также супруг(а) участника специальной военной операции, пропавшего без вести,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лиц, состоящих на диспансерном наблюдении, женщин в период беременности, родов и послеродовой период по вопросам, связанным с имеющимся заболеванием и (или) состоянием, включенным в базовую программу обязательного медицинского страхования.</w:t>
      </w:r>
    </w:p>
    <w:p w14:paraId="4110AF7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3.2.2. Средний размер финансового обеспечения медицинской помощи определен на основе нормативов объемов медицинской помощи и финансовых затрат на единицу объема медицинской помощи, установленных территориальной программой обязательного медицинского страхования и составляет 8621,77 рублей. Установленный размер не включает средства, направляемые на оплату медицинской помощи, оказываемой лицам, застрахованным за пределами Ставропольского края.</w:t>
      </w:r>
    </w:p>
    <w:p w14:paraId="3828F34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3.2.3. Базовый подушевой норматив финансирования медицинской помощи в амбулаторных условиях составляет 94,60 рублей в месяц с учетом коэффициента дифференциации 1,002.</w:t>
      </w:r>
    </w:p>
    <w:p w14:paraId="1609AC5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3.2.4. Половозрастные коэффициенты дифференциации в разрезе половозрастных групп установлены в </w:t>
      </w:r>
      <w:r>
        <w:fldChar w:fldCharType="begin"/>
      </w:r>
      <w:r>
        <w:instrText xml:space="preserve"> HYPERLINK "https://login.consultant.ru/link/?req=doc&amp;base=RLAW077&amp;n=246852&amp;dst=132502&amp;field=134&amp;date=01.12.2025" \o "https://login.consultant.ru/link/?req=doc&amp;base=RLAW077&amp;n=246852&amp;dst=132502&amp;field=134&amp;date=01.12.2025"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таблице 2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риложения 7 к настоящему тарифному соглашению.</w:t>
      </w:r>
    </w:p>
    <w:p w14:paraId="0C25F66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Коэффициенты дифференциации на прикрепившихся к медицинской организации лиц с учетом наличия подразделений, расположенных в сельской местности, отдаленных территориях, поселках городского типа и малых городах с численностью населения до 50 тысяч человек, и расходов на их содержание и оплату труда персонала (далее – КДот) установлены в </w:t>
      </w:r>
      <w:r>
        <w:fldChar w:fldCharType="begin"/>
      </w:r>
      <w:r>
        <w:instrText xml:space="preserve"> HYPERLINK "https://login.consultant.ru/link/?req=doc&amp;base=RLAW077&amp;n=246852&amp;dst=131927&amp;field=134&amp;date=01.12.2025" \o "https://login.consultant.ru/link/?req=doc&amp;base=RLAW077&amp;n=246852&amp;dst=131927&amp;field=134&amp;date=01.12.2025"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таблице 1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приложения 7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настоящему тарифному соглашению.</w:t>
      </w:r>
    </w:p>
    <w:p w14:paraId="276B857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3.2.5. Дифференцированные подушевые нормативы финансирования на прикрепившихся лиц рассчитаны исходя из базового подушевого норматива на прикрепившихся лиц, а также:</w:t>
      </w:r>
    </w:p>
    <w:p w14:paraId="62ED211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коэффициентов дифференциации на прикрепившихся к медицинской организации лиц с учетом наличия подразделений, расположенных в сельской местности, отдаленных территориях, поселках городского типа и малых городах с численностью населения до 50 тысяч человек и расходов на их содержание и оплату труда персонала;</w:t>
      </w:r>
    </w:p>
    <w:p w14:paraId="3E1A716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коэффициентов половозрастного состава;</w:t>
      </w:r>
    </w:p>
    <w:p w14:paraId="177D494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коэффициентов уровня расходов медицинских организаций (особенности плотности населения, транспортной доступности, климатических и географических особенностей, площади медицинской организации);</w:t>
      </w:r>
    </w:p>
    <w:p w14:paraId="3C71AA0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коэффициентов достижения целевых показателей уровня заработной платы медицинских работников, установленных «дорожными картами» развития здравоохранения в Ставропольском крае;</w:t>
      </w:r>
    </w:p>
    <w:p w14:paraId="6F94719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установлены в </w:t>
      </w:r>
      <w:r>
        <w:fldChar w:fldCharType="begin"/>
      </w:r>
      <w:r>
        <w:instrText xml:space="preserve"> HYPERLINK "https://login.consultant.ru/link/?req=doc&amp;base=RLAW077&amp;n=246852&amp;dst=131927&amp;field=134&amp;date=01.12.2025" \o "https://login.consultant.ru/link/?req=doc&amp;base=RLAW077&amp;n=246852&amp;dst=131927&amp;field=134&amp;date=01.12.2025"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таблице 1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приложения 7 к настоящему тарифному соглашению.</w:t>
      </w:r>
    </w:p>
    <w:p w14:paraId="2CD747D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3.2.6. По тарифу за единицу объема оплачиваются следующие виды медицинской помощи:</w:t>
      </w:r>
    </w:p>
    <w:p w14:paraId="59EABDD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медицинская помощь, оказанная застрахованным лицам за пределами Ставропольского края;</w:t>
      </w:r>
    </w:p>
    <w:p w14:paraId="1D80F12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медицинская помощь, оказанная в медицинских организациях, не имеющих прикрепившихся лиц;</w:t>
      </w:r>
    </w:p>
    <w:p w14:paraId="76B0A3DC">
      <w:pPr>
        <w:pStyle w:val="184"/>
        <w:spacing w:before="240"/>
        <w:ind w:firstLine="540"/>
        <w:jc w:val="both"/>
        <w:rPr>
          <w:sz w:val="28"/>
          <w:szCs w:val="28"/>
          <w:highlight w:val="white"/>
        </w:rPr>
      </w:pPr>
      <w:r>
        <w:rPr>
          <w:rFonts w:eastAsia="Times New Roman"/>
          <w:color w:val="000000"/>
          <w:sz w:val="28"/>
          <w:szCs w:val="28"/>
          <w:highlight w:val="white"/>
        </w:rPr>
        <w:t>отдельные диагностические (лабораторные) исследования – компьютерная томография, магнитно-резонансн</w:t>
      </w:r>
      <w:r>
        <w:rPr>
          <w:rFonts w:eastAsia="Times New Roman"/>
          <w:color w:val="000000"/>
          <w:sz w:val="28"/>
          <w:szCs w:val="28"/>
        </w:rPr>
        <w:t xml:space="preserve">ая томография, </w:t>
      </w:r>
      <w:r>
        <w:rPr>
          <w:rFonts w:eastAsia="Times New Roman"/>
          <w:color w:val="000000"/>
          <w:sz w:val="28"/>
          <w:szCs w:val="28"/>
          <w:highlight w:val="white"/>
        </w:rPr>
        <w:t>ультразвуковые исследования сердечно-сосудистой системы, эндоскопические диагностические исследования, молекулярно-генетические исследования и патологоанатомических исследования биопсийного (операционного) материала, ПЭТ/КТ, ОФЭКТ/ОФЭКТ-КТ</w:t>
      </w:r>
      <w:r>
        <w:rPr>
          <w:sz w:val="28"/>
          <w:szCs w:val="28"/>
          <w:highlight w:val="white"/>
        </w:rPr>
        <w:t xml:space="preserve"> неинвазивное пренатальное тестирование (определение внеклеточной ДНК плода по крови матери), </w:t>
      </w:r>
      <w:r>
        <w:rPr>
          <w:rFonts w:eastAsia="Times New Roman"/>
          <w:sz w:val="28"/>
          <w:szCs w:val="28"/>
          <w:highlight w:val="white"/>
        </w:rPr>
        <w:t>определения РНК вируса гепатита C (Hepatitis C virus) в крови методом ПЦР, лабораторной диагностики для пациентов с хроническим вирусным гепатитом С (оценка стадии фиброза, определение генотипа ВГС)</w:t>
      </w:r>
      <w:r>
        <w:rPr>
          <w:sz w:val="28"/>
          <w:szCs w:val="28"/>
          <w:highlight w:val="white"/>
        </w:rPr>
        <w:t xml:space="preserve"> (тарифы установлены в приложении 8);</w:t>
      </w:r>
    </w:p>
    <w:p w14:paraId="718B1353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вакцинация для профилактики пневмококковых инфекций у лиц старше 65 лет, имеющих не менее 3 хронических неинфекционных заболеваний 1 раз в 5 лет (тарифы установлены в приложении 9);</w:t>
      </w:r>
    </w:p>
    <w:p w14:paraId="7F714046">
      <w:pPr>
        <w:pStyle w:val="184"/>
        <w:spacing w:before="220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профилактические медицинские осмотры и диспансеризация, в том числе углубленная диспансеризация и диспансеризация взрослого населения репродуктивного возраста по оценке репродуктивного здоровья (тарифы установлены в приложениях 10 и 11);</w:t>
      </w:r>
    </w:p>
    <w:p w14:paraId="36BBB7A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диспансерное наблюдение отдельных категорий граждан из числа взрослого населения, включая диспансерное наблюдение работающих граждан, и (или) обучающихся в образовательных организациях, а также диспансерное наблюдение детей, проживающих в организациях социального обслуживания (детских домах-интернатах), предоставляющих социальные услуги в стационарной форме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(тарифы установлены в приложении 12);</w:t>
      </w:r>
    </w:p>
    <w:p w14:paraId="5A80CBF1">
      <w:pPr>
        <w:pStyle w:val="184"/>
        <w:spacing w:before="22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комплексное посещение с профилактическими целями центров здоровья (тарифы установлены в приложении 9), включая диспансерное наблюдение, а также посещение с иными целями центров здоровья (тарифы установлены в приложении 9);</w:t>
      </w:r>
    </w:p>
    <w:p w14:paraId="1A1CD3B0">
      <w:pPr>
        <w:pStyle w:val="184"/>
        <w:spacing w:before="22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дистанционное наблюдение за состоянием здоровья пациентов с артериальной гипертензией и сахарным диабетом (тарифы установлены в приложении 9);</w:t>
      </w:r>
    </w:p>
    <w:p w14:paraId="5EF1D96F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(тарифы установлены в приложении 9);</w:t>
      </w:r>
    </w:p>
    <w:p w14:paraId="7F2F50A3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 при ее оказании пациентам с хроническими неинфекционными заболеваниями, в том числе с сахарным диабетом, в части ведения школ, в том числе сахарного диабета, и школ для беременных и по вопросам грудного вскармливания (тарифы установлены в приложении 9);</w:t>
      </w:r>
    </w:p>
    <w:p w14:paraId="55356AD5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 по медицинской реабилитации в амбулаторных условиях (комплексное посещение) (тарифы установлены в приложении 9);</w:t>
      </w:r>
    </w:p>
    <w:p w14:paraId="7D5063B0">
      <w:pPr>
        <w:pStyle w:val="184"/>
        <w:spacing w:before="240"/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услуги диализа (тарифы установлены в приложении 13);</w:t>
      </w:r>
    </w:p>
    <w:p w14:paraId="100D4FE0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неотложная медицинская помощь (тарифы установлены в приложении 9), </w:t>
      </w:r>
    </w:p>
    <w:p w14:paraId="69BDFE71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помощь, оказываемая врачом травматологом-ортопедом травматологического пункта (тарифы установлены в приложении 9);</w:t>
      </w:r>
    </w:p>
    <w:p w14:paraId="38D72C7D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помощь, оказываемая врачом-онкологом центра амбулаторной онкологической помощи (тарифы установлены в приложении 9);</w:t>
      </w:r>
    </w:p>
    <w:p w14:paraId="31D27F6B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медицинская помощь, оказываемая врачом акушером-гинекологом (тарифы установлены в приложении 9);</w:t>
      </w:r>
    </w:p>
    <w:p w14:paraId="736EF4B3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стоматологическая медицинская помощь (тарифы установлены в приложении 14).</w:t>
      </w:r>
    </w:p>
    <w:p w14:paraId="02AE6626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Средние нормативы финансовых затрат на единицу объема медицинской помощи за счет средств ОМС установлены с учетом в том числе расходов, связанных с использованием: </w:t>
      </w:r>
    </w:p>
    <w:p w14:paraId="779181AA">
      <w:pPr>
        <w:pStyle w:val="184"/>
        <w:spacing w:before="220"/>
        <w:ind w:firstLine="709"/>
        <w:jc w:val="both"/>
        <w:rPr>
          <w:strike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  <w:highlight w:val="white"/>
        </w:rPr>
        <w:t>систем поддержки принятия врачебных решений (медицинских изделий с применением искусственного интеллекта, зарегистрированных в установленном порядке) (при проведении маммографии, рентгенографии или флюорографии грудной клетки, компьютерной томографии органов грудной клетки, ЭКГ, колоноскопии, первичном или повторном посещении врача по медицинской профилактике, профилактическом и диспансерном приеме врача по медицинской̆ профилактике, профилактическом и диспансерном приеме врача терапевта, лечебно-диагностическом приеме врача-терапевта первичном или повторном профилактическом консультировании по коррекции факторов риска (индивидуальном кратком, индивидуальном углубленном, групповом углубленном, ином углубленном);</w:t>
      </w:r>
    </w:p>
    <w:p w14:paraId="24284A00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информационных систем,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диабетом). </w:t>
      </w:r>
    </w:p>
    <w:p w14:paraId="38ABBA7E">
      <w:pPr>
        <w:pStyle w:val="184"/>
        <w:spacing w:before="240"/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Тариф медицинской услуги A26.08.019.23 «Молекулярно-биологическое исследование мазков со слизистой оболочки носоглотки на вирус гриппа (Influenza virus)» установлен в размере 435,59 рублей, медицинской услуги B03.014.006.001 «Комплекс для выявления возбудителей острых респираторных инфекций человека в клиническом материале методом полимеразной цепной реакции (РНК метапневмовируса, РНК вирусов парагриппа, РНК риновируса, РНК аденовируса, РНК бокавируса)» в размере 2183,07 рублей. Оплата включена в тариф посещения, обращения и ФДПн.</w:t>
      </w:r>
    </w:p>
    <w:p w14:paraId="2F1E3B1B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Медицинская помощь, оказанная в рамках второго этапа профилактических медицинских осмотров несовершеннолетних и всех видов диспансеризации, оплачивается вне подушевого норматива финансирования в зависимости от фактически оказанных в рамках второго этапа профилактических медицинских осмотров медицинских услуг и посещений медицинского персонала. </w:t>
      </w:r>
    </w:p>
    <w:p w14:paraId="35CE51A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3.2.7. Базовый норматив финансовых затрат на финансовое обеспечение структурных подразделений, перечень ФП, ФАП, финансовое обеспечение которых осуществляется за счет средств ОМС, диапазоны численности обслуживаемого населения, размер финансового обеспечения фельдшерских здравпунктов, фельдшерско-акушерских пунктов при условии их соответствия (несоответствия) требованиям, установленным </w:t>
      </w:r>
      <w:r>
        <w:fldChar w:fldCharType="begin"/>
      </w:r>
      <w:r>
        <w:instrText xml:space="preserve"> HYPERLINK "https://login.consultant.ru/link/?req=doc&amp;base=LAW&amp;n=358683&amp;dst=100013&amp;field=134&amp;date=01.12.2025" \o "https://login.consultant.ru/link/?req=doc&amp;base=LAW&amp;n=358683&amp;dst=100013&amp;field=134&amp;date=01.12.2025"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положением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об организации оказания первичной медико-санитарной помощи взрослому населению, утвержденным приказом Минздрава России от 14.04.2025 № 202н «Об утверждении Положения об организации оказания первичной медико-санитарной помощи взрослому населению», значения коэффициентов специфики и поправочных коэффициентов, учитывающих в том числе долю женщин репродуктивного возраста, установлены в </w:t>
      </w:r>
      <w:r>
        <w:fldChar w:fldCharType="begin"/>
      </w:r>
      <w:r>
        <w:instrText xml:space="preserve"> HYPERLINK "https://login.consultant.ru/link/?req=doc&amp;base=RLAW077&amp;n=246852&amp;dst=113736&amp;field=134&amp;date=01.12.2025" \o "https://login.consultant.ru/link/?req=doc&amp;base=RLAW077&amp;n=246852&amp;dst=113736&amp;field=134&amp;date=01.12.2025"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приложении 15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 настоящему тарифному соглашению.</w:t>
      </w:r>
    </w:p>
    <w:p w14:paraId="471F3B2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3.2.8. Тарифы на оплату медицинской помощи, оказываемой в амбулаторных условиях, применяются с учетом КУСмо, которые приведены в </w:t>
      </w:r>
      <w:r>
        <w:fldChar w:fldCharType="begin"/>
      </w:r>
      <w:r>
        <w:instrText xml:space="preserve"> HYPERLINK "file:///C:\\opt\\r7-office\\desktopeditors\\editors\\web-apps\\apps\\documenteditor\\main\\index.html" \l "p155" \o "file:///opt/r7-office/desktopeditors/editors/web-apps/apps/documenteditor/main/index.html?_dc=0&amp;lang=ru-RU&amp;frameEditorId=placeholder&amp;parentOrigin=file://#p155"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таблице 1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настоящего тарифного соглашения, за исключением тарифов:</w:t>
      </w:r>
    </w:p>
    <w:p w14:paraId="142D0596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rFonts w:eastAsia="Times New Roman"/>
          <w:color w:val="000000"/>
          <w:sz w:val="28"/>
          <w:szCs w:val="28"/>
          <w:highlight w:val="white"/>
        </w:rPr>
        <w:t xml:space="preserve">профилактических медицинских осмотров и диспансеризации, в том числе углубленной диспансеризации и диспансеризации </w:t>
      </w:r>
      <w:r>
        <w:rPr>
          <w:sz w:val="28"/>
          <w:szCs w:val="28"/>
          <w:highlight w:val="white"/>
        </w:rPr>
        <w:t>взрослого населения репродуктивного возраста по оценке репродуктивного здоровья;</w:t>
      </w:r>
    </w:p>
    <w:p w14:paraId="1E3C0ABC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вакцинации для профилактики пневмококковых инфекций у лиц старше 65 лет, имеющих не менее 3 хронических неинфекционных заболеваний 1 раз в 5 лет;</w:t>
      </w:r>
    </w:p>
    <w:p w14:paraId="00748D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определенных настоящим тарифным соглашением отдельных медицинских услуг в соответствии с </w:t>
      </w:r>
      <w:r>
        <w:fldChar w:fldCharType="begin"/>
      </w:r>
      <w:r>
        <w:instrText xml:space="preserve"> HYPERLINK "https://login.consultant.ru/link/?req=doc&amp;base=RLAW077&amp;n=246852&amp;dst=104695&amp;field=134&amp;date=01.12.2025" \o "https://login.consultant.ru/link/?req=doc&amp;base=RLAW077&amp;n=246852&amp;dst=104695&amp;field=134&amp;date=01.12.2025"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приложением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8 к настоящему тарифному соглашению;</w:t>
      </w:r>
    </w:p>
    <w:p w14:paraId="1263C66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диспансерного наблюдения отдельных категорий граждан из числа взрослого населения, включая диспансерное наблюдение работающих граждан, и (или) обучающихся в образовательных организациях, а также диспансерного наблюдения детей, проживающих в организациях социального обслуживания (детских домах-интернатах), предоставляющих социальные услуги в стационарной фор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ме;</w:t>
      </w:r>
    </w:p>
    <w:p w14:paraId="18C02648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rFonts w:eastAsia="Times New Roman"/>
          <w:color w:val="000000"/>
          <w:sz w:val="28"/>
          <w:szCs w:val="28"/>
          <w:highlight w:val="white"/>
        </w:rPr>
        <w:t xml:space="preserve">медицинской помощи при ее оказании пациентам с хроническими неинфекционными заболеваниями, в том числе с сахарным диабетом, </w:t>
      </w:r>
      <w:r>
        <w:rPr>
          <w:sz w:val="28"/>
          <w:szCs w:val="28"/>
          <w:highlight w:val="white"/>
        </w:rPr>
        <w:t>в части ведения школ, в том числе сахарного диабета, и школ для беременных и по вопросам грудного вскармливания;</w:t>
      </w:r>
    </w:p>
    <w:p w14:paraId="1E895F9A">
      <w:pPr>
        <w:pStyle w:val="184"/>
        <w:spacing w:before="22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комплексных посещений с профилактическими целями центров здоровья, включая диспансерное наблюдение;</w:t>
      </w:r>
    </w:p>
    <w:p w14:paraId="17256510">
      <w:pPr>
        <w:pStyle w:val="184"/>
        <w:spacing w:before="22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дистанционного наблюдения за состоянием здоровья пациентов с артериальной гипертензией и сахарным диабетом;</w:t>
      </w:r>
    </w:p>
    <w:p w14:paraId="10A2C4EF">
      <w:pPr>
        <w:pStyle w:val="184"/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представителями;</w:t>
      </w:r>
    </w:p>
    <w:p w14:paraId="4F69C3C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медицинской помощи по медицинской реабилитации (комплексное посещение);</w:t>
      </w:r>
    </w:p>
    <w:p w14:paraId="27896FC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услуг диализа;</w:t>
      </w:r>
    </w:p>
    <w:p w14:paraId="5E92988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>неотложной медицинской помощи;</w:t>
      </w:r>
    </w:p>
    <w:p w14:paraId="38F1A44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тарифов на оплату стоматологической помощи.</w:t>
      </w:r>
    </w:p>
    <w:p w14:paraId="2938AEC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</w:p>
    <w:p w14:paraId="7E95165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jc w:val="right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Таблица 1</w:t>
      </w:r>
    </w:p>
    <w:p w14:paraId="388663C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16AF1D1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Коэффициенты уровня оказания медицинской помощи (КУСмо),</w:t>
      </w:r>
    </w:p>
    <w:p w14:paraId="56FCCE7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применяемые медицинскими организациями, оказывающими</w:t>
      </w:r>
    </w:p>
    <w:p w14:paraId="3B8A229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медицинскую помощь в амбулаторных условиях</w:t>
      </w:r>
    </w:p>
    <w:p w14:paraId="3D5D055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tbl>
      <w:tblPr>
        <w:tblStyle w:val="3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4860"/>
        <w:gridCol w:w="1845"/>
      </w:tblGrid>
      <w:tr w14:paraId="754ABC0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C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3" w:lineRule="exact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№ стр.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6F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3" w:lineRule="exact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Уровень оказания медицинской помощи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92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3" w:lineRule="exact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КУСмо</w:t>
            </w:r>
          </w:p>
        </w:tc>
      </w:tr>
      <w:tr w14:paraId="4B9457A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B6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1.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82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1 уровень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A5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1,00</w:t>
            </w:r>
          </w:p>
        </w:tc>
      </w:tr>
      <w:tr w14:paraId="527DEDA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41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2.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4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2 уровень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D3D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>1,40</w:t>
            </w:r>
          </w:p>
        </w:tc>
      </w:tr>
    </w:tbl>
    <w:p w14:paraId="441400E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4E729B5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3.3. Тарифы на оплату стоматологической помощи</w:t>
      </w:r>
    </w:p>
    <w:p w14:paraId="1DBD5BA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0470E3D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3.3.1. Базовый тариф на оплату случая оказания стоматологической помощи составляет 258,83 рублей, в котором доля фонда оплаты труда составляет не менее 80 процентов.</w:t>
      </w:r>
    </w:p>
    <w:p w14:paraId="79E26DD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3.3.2. </w:t>
      </w:r>
      <w:r>
        <w:fldChar w:fldCharType="begin"/>
      </w:r>
      <w:r>
        <w:instrText xml:space="preserve"> HYPERLINK "https://login.consultant.ru/link/?req=doc&amp;base=RLAW077&amp;n=246852&amp;dst=117913&amp;field=134&amp;date=01.12.2025" \o "https://login.consultant.ru/link/?req=doc&amp;base=RLAW077&amp;n=246852&amp;dst=117913&amp;field=134&amp;date=01.12.2025"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Тарифы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оплату стоматологических лечебно-диагностических услуг установлены в приложении 14 к настоящему тарифному соглашению.</w:t>
      </w:r>
    </w:p>
    <w:p w14:paraId="7E9D127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3.3.3. К тарифам на оплату стоматологических лечебно-диагностических услуг не применяются установленные настоящим тарифным соглашением КУСмо.</w:t>
      </w:r>
    </w:p>
    <w:p w14:paraId="6ADB64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7DBBF3B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3.4. Тарифы на оплату медицинской помощи, оказываемой в стационарных условиях, в том числе для медицинской реабилитации в специализированных медицинских организациях (структурных подразделениях) и в условиях дневного стационара</w:t>
      </w:r>
    </w:p>
    <w:p w14:paraId="2E81E46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48237E4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3.4.1. Средний размер финансового обеспечения медицинской помощи, оказываемой медицинскими организациями, участвующими в реализации территориальной программы обязательного медицинского страхования, в расчете на одно застрахованное лицо определен на основе нормативов объемов медицинской помощи и финансовых затрат на единицу объема медицинской помощи, установленных территориальной программой обязательного медицинского страхования и составляет:</w:t>
      </w:r>
    </w:p>
    <w:p w14:paraId="14AF911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для медицинской помощи в стационарных условиях – 9 315,63 рубля;</w:t>
      </w:r>
    </w:p>
    <w:p w14:paraId="2E5D83B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для медицинской помощи в условиях дневного стационара – 2 183,88 рублей.</w:t>
      </w:r>
    </w:p>
    <w:p w14:paraId="54928F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Установленный размер не включает средства, направляемые на оплату медицинской помощи, оказываемой застрахованным лицам за пределами субъекта Российской Федерации.</w:t>
      </w:r>
    </w:p>
    <w:p w14:paraId="159C8A9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Перечень КСГ, коэффициенты затратоемкости КСГ, коэффициенты специфики, коэффициенты подуровня оказания медицинской помощи, тарифы КСГ для оплаты медицинской помощи, оказываемой в стационарных условиях и условиях дневного стационара с учетом коэффициентов подуровня установлены в </w:t>
      </w:r>
      <w:r>
        <w:fldChar w:fldCharType="begin"/>
      </w:r>
      <w:r>
        <w:instrText xml:space="preserve"> HYPERLINK "https://login.consultant.ru/link/?req=doc&amp;base=RLAW077&amp;n=246852&amp;dst=119231&amp;field=134&amp;date=01.12.2025" \o "https://login.consultant.ru/link/?req=doc&amp;base=RLAW077&amp;n=246852&amp;dst=119231&amp;field=134&amp;date=01.12.2025"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приложениях 16 и 17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настоящему тарифному соглашению.</w:t>
      </w:r>
    </w:p>
    <w:p w14:paraId="317CEBA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Тарифы КСГ, в составе которых установлена доля заработной платы и прочих расходов (ДЗП), определяются на основании базовой ставки, коэффициента относительной затратоемкости (далее – КЗКСГ), с учетом применения коэффициента дифференциации (далее – КД), коэффициента специфики КСГ (далее – КСКСГ), КУСмо только к доле заработной платы и прочих расходов, и приведены в </w:t>
      </w:r>
      <w:r>
        <w:fldChar w:fldCharType="begin"/>
      </w:r>
      <w:r>
        <w:instrText xml:space="preserve"> HYPERLINK "https://login.consultant.ru/link/?req=doc&amp;base=RLAW077&amp;n=246852&amp;dst=162801&amp;field=134&amp;date=01.12.2025" \o "https://login.consultant.ru/link/?req=doc&amp;base=RLAW077&amp;n=246852&amp;dst=162801&amp;field=134&amp;date=01.12.2025"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приложениях 16 и 17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 настоящему тарифному соглашению.</w:t>
      </w:r>
    </w:p>
    <w:p w14:paraId="2068BBE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Коэффициенты достижения целевых показателей уровня заработной платы медицинских работников, предусмотренного «дорожными картами» развития здравоохранения в субъекте Российской Федерации (далее – КДЗПМО), устанавливаются к тарифам КСГ и приведены в </w:t>
      </w:r>
      <w:r>
        <w:fldChar w:fldCharType="begin"/>
      </w:r>
      <w:r>
        <w:instrText xml:space="preserve"> HYPERLINK "https://login.consultant.ru/link/?req=doc&amp;base=RLAW077&amp;n=246852&amp;dst=102523&amp;field=134&amp;date=01.12.2025" \o "https://login.consultant.ru/link/?req=doc&amp;base=RLAW077&amp;n=246852&amp;dst=102523&amp;field=134&amp;date=01.12.2025"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приложении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настоящему тарифному соглашению.</w:t>
      </w:r>
    </w:p>
    <w:p w14:paraId="6CFE92F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3.4.2. </w:t>
      </w:r>
      <w:r>
        <w:fldChar w:fldCharType="begin"/>
      </w:r>
      <w:r>
        <w:instrText xml:space="preserve"> HYPERLINK "https://login.consultant.ru/link/?req=doc&amp;base=RLAW077&amp;n=246852&amp;dst=127272&amp;field=134&amp;date=01.12.2025" \o "https://login.consultant.ru/link/?req=doc&amp;base=RLAW077&amp;n=246852&amp;dst=127272&amp;field=134&amp;date=01.12.2025"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Тарифы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оплату законченных случаев оказания ВМП, установлены в приложении 18 к настоящему тарифному соглашению с учетом применения коэффициента дифференциации к доле заработной платы в составе норматива финансовых затрат на единицу объема медицинской помощи, установленной в программе государственных гарантий бесплатного оказания гражданам медицинской помощи.</w:t>
      </w:r>
    </w:p>
    <w:p w14:paraId="7D5A0B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нормативу финансовых затрат на единицу объема предоставления ВМП коэффициенты специфики, достижения целевых показателей уровня заработной платы медицинских работников и подуровня не применяются.</w:t>
      </w:r>
    </w:p>
    <w:p w14:paraId="0288E52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3.4.3. К тарифам на оплату услуг диализа с учетом применения различных методов оказания медицинской помощи коэффициенты подуровня не применяются.</w:t>
      </w:r>
    </w:p>
    <w:p w14:paraId="58CC09D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3.4.4. Коэффициент сложности лечения пациента (далее – КСЛП) устанавливается к тарифам КСГ исходя из базовой ставки, КД и установленного значения КСЛП и учитывает более высокий уровень затрат на оказание медицинской помощи пациентам в отдельных случаях. Стоимость КСЛП «проведение сопроводительной лекарственной терапии при злокачественных новообразованиях у взрослых в соответствии с клиническими рекомендациями» определяется без КД.</w:t>
      </w:r>
    </w:p>
    <w:p w14:paraId="26A1926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Перечень, значения и основания применения КСЛП приведены в </w:t>
      </w:r>
      <w:r>
        <w:fldChar w:fldCharType="begin"/>
      </w:r>
      <w:r>
        <w:instrText xml:space="preserve"> HYPERLINK "https://login.consultant.ru/link/?req=doc&amp;base=RLAW077&amp;n=246852&amp;dst=128026&amp;field=134&amp;date=01.12.2025" \o "https://login.consultant.ru/link/?req=doc&amp;base=RLAW077&amp;n=246852&amp;dst=128026&amp;field=134&amp;date=01.12.2025"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таблицах 1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– </w:t>
      </w:r>
      <w:r>
        <w:fldChar w:fldCharType="begin"/>
      </w:r>
      <w:r>
        <w:instrText xml:space="preserve"> HYPERLINK "https://login.consultant.ru/link/?req=doc&amp;base=RLAW077&amp;n=246852&amp;dst=129445&amp;field=134&amp;date=01.12.2025" \o "https://login.consultant.ru/link/?req=doc&amp;base=RLAW077&amp;n=246852&amp;dst=129445&amp;field=134&amp;date=01.12.2025"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15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приложения 19 к настоящему тарифному соглашению.</w:t>
      </w:r>
    </w:p>
    <w:p w14:paraId="1F7A9DD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3.4.5. Коэффициенты уровня (подуровня) оказания медицинской помощи в разрезе медицинских организаций и (или) структурных подразделений медицинских организаций, применяемые к тарифам на оплату оказываемой в стационарных условиях и в условиях дневного стационара медицинской помощи, установлены в </w:t>
      </w:r>
      <w:r>
        <w:fldChar w:fldCharType="begin"/>
      </w:r>
      <w:r>
        <w:instrText xml:space="preserve"> HYPERLINK "https://login.consultant.ru/link/?req=doc&amp;base=RLAW077&amp;n=246852&amp;dst=102523&amp;field=134&amp;date=01.12.2025" \o "https://login.consultant.ru/link/?req=doc&amp;base=RLAW077&amp;n=246852&amp;dst=102523&amp;field=134&amp;date=01.12.2025"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 xml:space="preserve">приложении 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3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настоящему тарифному соглашению.</w:t>
      </w:r>
    </w:p>
    <w:p w14:paraId="3E04FBF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3.4.6. </w:t>
      </w:r>
      <w:r>
        <w:fldChar w:fldCharType="begin"/>
      </w:r>
      <w:r>
        <w:instrText xml:space="preserve"> HYPERLINK "https://login.consultant.ru/link/?req=doc&amp;base=RLAW077&amp;n=246852&amp;dst=129478&amp;field=134&amp;date=01.12.2025" \o "https://login.consultant.ru/link/?req=doc&amp;base=RLAW077&amp;n=246852&amp;dst=129478&amp;field=134&amp;date=01.12.2025"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Перечень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КСГ, при оплате которых не применяется коэффициент уровня (подуровня) медицинской организации, установлен в приложении 20 к настоящему тарифному соглашению.</w:t>
      </w:r>
    </w:p>
    <w:p w14:paraId="604336E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3.4.7. </w:t>
      </w:r>
      <w:r>
        <w:fldChar w:fldCharType="begin"/>
      </w:r>
      <w:r>
        <w:instrText xml:space="preserve"> HYPERLINK "https://login.consultant.ru/link/?req=doc&amp;base=RLAW077&amp;n=246852&amp;dst=103916&amp;field=134&amp;date=01.12.2025" \o "https://login.consultant.ru/link/?req=doc&amp;base=RLAW077&amp;n=246852&amp;dst=103916&amp;field=134&amp;date=01.12.2025"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Особенности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оплаты прерванных случаев оказания медицинской помощи установлены в приложении 5 к настоящему тарифному соглашению.</w:t>
      </w:r>
    </w:p>
    <w:p w14:paraId="0D9E25A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3.4.8. </w:t>
      </w:r>
      <w:r>
        <w:fldChar w:fldCharType="begin"/>
      </w:r>
      <w:r>
        <w:instrText xml:space="preserve"> HYPERLINK "https://login.consultant.ru/link/?req=doc&amp;base=RLAW077&amp;n=246852&amp;dst=101775&amp;field=134&amp;date=01.12.2025" \o "https://login.consultant.ru/link/?req=doc&amp;base=RLAW077&amp;n=246852&amp;dst=101775&amp;field=134&amp;date=01.12.2025"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t>Перечень</w:t>
      </w:r>
      <w:r>
        <w:rPr>
          <w:rStyle w:val="15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КСГ с оптимальной длительностью лечения до 3 дней включительно установлен в приложении 4 к настоящему тарифному соглашению.</w:t>
      </w:r>
    </w:p>
    <w:p w14:paraId="0716E9B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3.4.9. </w:t>
      </w:r>
      <w:r>
        <w:fldChar w:fldCharType="begin"/>
      </w:r>
      <w:r>
        <w:instrText xml:space="preserve"> HYPERLINK "https://login.consultant.ru/link/?req=doc&amp;base=RLAW077&amp;n=246852&amp;dst=130042&amp;field=134&amp;date=01.12.2025" \o "https://login.consultant.ru/link/?req=doc&amp;base=RLAW077&amp;n=246852&amp;dst=130042&amp;field=134&amp;date=01.12.2025"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>Перечень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КСГ, предполагающих хирургическое вмешательство или тромболитическую терапию установлен в приложении 21 к настоящему тарифному соглашению.</w:t>
      </w:r>
    </w:p>
    <w:p w14:paraId="15118D0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5D5BA36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3.5. Тарифы на оплату скорой медицинской помощи</w:t>
      </w:r>
    </w:p>
    <w:p w14:paraId="1F977A4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113BF9C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3.5.1. ФДПн скорой медицинской помощи включает расходы на оплату скорой медицинской помощи, в том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числе скорой специализированной медицинской помощи, оказываемой в экстренной и неотложной формах, за исключением расходов на оплату:</w:t>
      </w:r>
    </w:p>
    <w:p w14:paraId="44E9E8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вызова скорой медицинской помощи с применением тромболитической терапии;</w:t>
      </w:r>
    </w:p>
    <w:p w14:paraId="5C9A080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вызова врачебной специализированной реанимационной бригады, в том числе при медицинской эвакуации.</w:t>
      </w:r>
    </w:p>
    <w:p w14:paraId="1C32709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Средний размер финансового обеспечения медицинской помощи определен на основе нормативов объемов медицинской помощи и финансовых затрат на единицу объема медицинской помощи, установленных территориальной программой обязательного медицинского страхования и составляет 1 284,61 рублей.</w:t>
      </w:r>
    </w:p>
    <w:p w14:paraId="561579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Базовый норматив финансирования скорой медицинской помощи составляет 106,43 рублей в месяц с учетом коэффициента дифференциации 1,002.</w:t>
      </w:r>
    </w:p>
    <w:p w14:paraId="10D712B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Установленный размер не включает средства, направляемые на оплату медицинской помощи, оказываемой лицам, застрахованным за пределами Ставропольского края.</w:t>
      </w:r>
    </w:p>
    <w:p w14:paraId="25F595A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3.5.2. ФДПн скорой медицинской помощи рассчитан на основе базового подушевого норматива и коэффициентов, учитывающих половозрастной состав и уровень расходов медицинских организаций и установлены в </w:t>
      </w:r>
      <w:r>
        <w:fldChar w:fldCharType="begin"/>
      </w:r>
      <w:r>
        <w:instrText xml:space="preserve"> HYPERLINK "https://login.consultant.ru/link/?req=doc&amp;base=RLAW077&amp;n=246852&amp;dst=103652&amp;field=134&amp;date=01.12.2025" \o "https://login.consultant.ru/link/?req=doc&amp;base=RLAW077&amp;n=246852&amp;dst=103652&amp;field=134&amp;date=01.12.2025"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приложении 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22 к настоящему тарифному соглашению.</w:t>
      </w:r>
    </w:p>
    <w:p w14:paraId="597AF0B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3.5.3. Базовый норматив финансовых затрат на оплату вызова скорой медицинской помощи составляет 13 020,20 рублей.</w:t>
      </w:r>
    </w:p>
    <w:p w14:paraId="5C71C6D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3.5.4. </w:t>
      </w:r>
      <w:r>
        <w:fldChar w:fldCharType="begin"/>
      </w:r>
      <w:r>
        <w:instrText xml:space="preserve"> HYPERLINK "https://login.consultant.ru/link/?req=doc&amp;base=RLAW077&amp;n=246852&amp;dst=130946&amp;field=134&amp;date=01.12.2025" \o "https://login.consultant.ru/link/?req=doc&amp;base=RLAW077&amp;n=246852&amp;dst=130946&amp;field=134&amp;date=01.12.2025"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>Тарифы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вызова на оплату скорой медицинской помощи, в том числе в связи с проведением тромболитической терапии пациентов, вызова врачебной специализированной реанимационной бригады, в том числе при медицинской эвакуации, установлены в приложении 23 к настоящему тарифному соглашению.</w:t>
      </w:r>
    </w:p>
    <w:p w14:paraId="13E70E7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3.5.5. За счет средств ОМС не оплачивается медицинская помощь, оказанная неидентифицированным (в том числе неопознанным) или не застрахованным по ОМС пациентам, вызовы в связи с заболеваниями не предусмотренными территориальной программой ОМС, дежурства выездных бригад скорой медицинской помощи на массовых мероприятиях и при чрезвычайных ситуациях, безрезультатные вызовы, а также транспортировка пациентов выездными бригадами скорой медицинской помощи, не являющаяся медицинской эвакуацией, вызовы для констатации уже наступившего летального исхода.</w:t>
      </w:r>
    </w:p>
    <w:p w14:paraId="2221A5B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</w:p>
    <w:p w14:paraId="7FDF65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>3.6. Тарифы на оплату медицинской помощи, предоставляемой согласно сверхбазовой программе ОМС</w:t>
      </w:r>
    </w:p>
    <w:p w14:paraId="3839475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0871AB7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567"/>
        </w:tabs>
        <w:spacing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3.6.1. Обращение, оплачиваемое согласно сверхбазовой программе ОМС – оказание в Центре охраны здоровья семьи и репродукции амбулаторно-поликлинической специализированной медицинской помощи с использованием современных медицинских технологий (за исключением методов вспомогательной репродукции) пациентам с нарушениями репродуктивного здоровья (различные формы бесплодия, не вынашивания беременности), нуждающимся в сохранении и восстановлении анатомо-функционального состояния репродуктивной системы, имеющим генетически детерминированные нарушения репродукции и состояния, приводящие к репродуктивным потерям, а также беременным женщинам с гематологическими нарушениями, включающей необходимые диагностические обследования и консультации врачей специалистов. При этом обращение включает не менее двух приемов лечащего врача по поводу одного заболевания.</w:t>
      </w:r>
    </w:p>
    <w:p w14:paraId="0BCCDC0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3.6.2. Медицинская помощь, оказанная в амбулаторных условиях, предоставляемая согласно сверхбазовой программе ОМС в Центре охраны здоровья семьи и репродукции включает мероприятия, которые определены приказами Министерства здравоохранения Российской Федерации от 20.10.2020 №</w:t>
      </w:r>
      <w:r>
        <w:fldChar w:fldCharType="begin"/>
      </w:r>
      <w:r>
        <w:instrText xml:space="preserve"> HYPERLINK "https://login.consultant.ru/link/?req=doc&amp;base=LAW&amp;n=367763&amp;date=01.12.2025" \o "https://login.consultant.ru/link/?req=doc&amp;base=LAW&amp;n=367763&amp;date=01.12.2025"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0000FF"/>
          <w:sz w:val="28"/>
          <w:szCs w:val="28"/>
          <w:highlight w:val="white"/>
          <w:u w:val="none"/>
        </w:rPr>
        <w:t xml:space="preserve"> 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>1130н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«Об утверждении Порядка оказания медицинской помощи по профилю «акушерство и гинекология», от 15.11.2012 №</w:t>
      </w:r>
      <w:r>
        <w:fldChar w:fldCharType="begin"/>
      </w:r>
      <w:r>
        <w:instrText xml:space="preserve"> HYPERLINK "https://login.consultant.ru/link/?req=doc&amp;base=LAW&amp;n=144940&amp;date=01.12.2025" \o "https://login.consultant.ru/link/?req=doc&amp;base=LAW&amp;n=144940&amp;date=01.12.2025"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 xml:space="preserve"> 930н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«Об утверждении Порядка оказания медицинской помощи населению по профилю «гематология», в том числе следующие мероприятия:</w:t>
      </w:r>
    </w:p>
    <w:p w14:paraId="4D22284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оказание консультативно-диагностической, лечебной и реабилитационной помощи пациентам с нарушениями репродуктивного здоровья (различные формы бесплодия, невынашивания беременности) с использованием современных профилактических и лечебно-диагностических технологий;</w:t>
      </w:r>
    </w:p>
    <w:p w14:paraId="326EF71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применение современных методов профилактики абортов и подготовки к беременности и родам;</w:t>
      </w:r>
    </w:p>
    <w:p w14:paraId="66091C8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88" w:lineRule="atLeast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сохранение и восстановление репродуктивной функции с использованием современных медицинских технологий;</w:t>
      </w:r>
    </w:p>
    <w:p w14:paraId="0697EFE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оказание медицинской помощи беременным женщинам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14:paraId="0DDA9B9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оказание психотерапевтической помощи семье на основе индивидуального подхода с учетом особенностей личности.</w:t>
      </w:r>
    </w:p>
    <w:p w14:paraId="168F348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fldChar w:fldCharType="begin"/>
      </w:r>
      <w:r>
        <w:instrText xml:space="preserve"> HYPERLINK "https://login.consultant.ru/link/?req=doc&amp;base=RLAW077&amp;n=246852&amp;dst=131089&amp;field=134&amp;date=01.12.2025" \o "https://login.consultant.ru/link/?req=doc&amp;base=RLAW077&amp;n=246852&amp;dst=131089&amp;field=134&amp;date=01.12.2025"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>Тарифы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на оплату первичной специали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зированной медико-санитарной помощи, оказываемой в амбулаторных условиях, в связи со страховым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случаем, установленным в дополнение к базовой программе ОМС, приведены в приложении 24 настоящего тарифного соглашения.</w:t>
      </w:r>
    </w:p>
    <w:p w14:paraId="0EDE64D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К тарифам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оплату медицинской помощи, оказанной в связи со страховым случаем, установленным в дополнение к базовой программе ОМС, коэффициент подуровня не применяется.</w:t>
      </w:r>
    </w:p>
    <w:p w14:paraId="04CEC75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0BC1785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IV. РАЗМЕР НЕОПЛАТЫ ИЛИ НЕПОЛНОЙ ОПЛАТЫ ЗАТРАТ НА ОКАЗАНИЕ МЕДИЦИНСКОЙ ПОМОЩИ, А ТАКЖЕ ШТРАФОВ ЗА НЕОКАЗАНИЕ, НЕСВОЕВРЕМЕННОЕ ОКАЗАНИЕ ЛИБО ОКАЗАНИЕ МЕДИЦИНСКОЙ ПОМОЩИ</w:t>
      </w:r>
    </w:p>
    <w:p w14:paraId="1833975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НЕНАДЛЕЖАЩЕГО КАЧЕСТВА</w:t>
      </w:r>
    </w:p>
    <w:p w14:paraId="0E420C1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16D5E71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4.1. Порядок применения неоплаты или неполной оплаты затрат на оказание медицинской помощи, а также за неоказание, несвоевременное оказание либо оказание медицинской помощи ненадлежащего качества</w:t>
      </w:r>
    </w:p>
    <w:p w14:paraId="270FC51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230995E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Неоплата или неполная оплата затрат на оказание медицинской помощи по ОМС по предъявленным к оплате тарифам, санкции к медицинской организации за нарушения, выявленные в ходе контроля объемов, сроков, качества и условий предоставления медицинской помощи по ОМС применяется страховой медицинской организацией и фондом согласно Порядку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утвержденному приказом Министерства здравоохранения Российской Федерации (далее – Порядок контроля) и настоящему тарифному соглашению.</w:t>
      </w:r>
    </w:p>
    <w:p w14:paraId="41C83A0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ind w:firstLine="54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967BF9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3" w:lineRule="exact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4.2. Перечень и размеры санкций, применяемых к медицинской организации за нарушение обязательств при оказании медицинской помощи</w:t>
      </w:r>
    </w:p>
    <w:p w14:paraId="5C2EE16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0D89C71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 нарушение обязательств при оказании медицинской помощи по ОМС к медицинским организациям применяются санкции, следствием неисполнения которых является возможность неоплаты или неполной оплаты затрат на оказание медицинской помощи, а также уплаты медицинской организацией штрафа за неоказание, несвоевременное оказание либо оказание медицинской помощи ненадлежащего качества, и их величины согласно </w:t>
      </w:r>
      <w:r>
        <w:fldChar w:fldCharType="begin"/>
      </w:r>
      <w:r>
        <w:instrText xml:space="preserve"> HYPERLINK "https://login.consultant.ru/link/?req=doc&amp;base=RLAW077&amp;n=246852&amp;dst=131145&amp;field=134&amp;date=01.12.2025" \o "https://login.consultant.ru/link/?req=doc&amp;base=RLAW077&amp;n=246852&amp;dst=131145&amp;field=134&amp;date=01.12.2025" </w:instrText>
      </w:r>
      <w:r>
        <w:fldChar w:fldCharType="separate"/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t>приложению 25</w:t>
      </w:r>
      <w:r>
        <w:rPr>
          <w:rStyle w:val="15"/>
          <w:rFonts w:ascii="Times New Roman" w:hAnsi="Times New Roman" w:eastAsia="Times New Roman" w:cs="Times New Roman"/>
          <w:color w:val="auto"/>
          <w:sz w:val="28"/>
          <w:szCs w:val="28"/>
          <w:highlight w:val="white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настоящему тарифному соглашению.</w:t>
      </w:r>
    </w:p>
    <w:p w14:paraId="79A7B0A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> </w:t>
      </w:r>
    </w:p>
    <w:p w14:paraId="31317ED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V. ЗАКЛЮЧИТЕЛЬНЫЕ ПОЛОЖЕНИЯ</w:t>
      </w:r>
    </w:p>
    <w:p w14:paraId="52DCD01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C28844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5.1. Тарифное соглашение вступает в силу с даты подписания уполномоченными представителями сторон, но не ранее вступления в силу Территориальной программы и распространяется на отношения в сфере ОМС на территории Ставропольского края с 1 января 2026 года за исключением отдельных положений, в том числе последующих изменений, для которых установлен иной срок вступления в силу.</w:t>
      </w:r>
    </w:p>
    <w:p w14:paraId="3966B9C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Настоящее тарифное соглашение в пятидневный срок после дня его заключения направляется председателем Комиссии в Федеральный фонд обязательного медицинского страхования для подготовки заключения о соответствии тарифного соглашения базовой программе ОМС.</w:t>
      </w:r>
    </w:p>
    <w:p w14:paraId="34F122F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5.2. Настоящее тарифное соглашение действует один финансовый год и распространяется на правоотношения, связанные с оплатой медицинской помощи, оказанной на территории Ставропольского края, в течение 2026 года.</w:t>
      </w:r>
    </w:p>
    <w:p w14:paraId="21D72F4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5.3. В части, не отраженной в настоящем тарифном соглашении, порядок и условия применения тарифов, установленных настоящим тарифным соглашением, разъясняют совместно министерство и фонд.</w:t>
      </w:r>
    </w:p>
    <w:p w14:paraId="573C9C1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5.4. Информационное взаимодействие участников ОМС осуществляется в едином информационном ресурсе, организованном фондом.</w:t>
      </w:r>
    </w:p>
    <w:p w14:paraId="4B3C0EA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Регламент информационного взаимодействия при расчетах за медицинскую помощь по ОМС, оказанную застрахованным лицам на территории Ставропольского края, утверждается фондом.</w:t>
      </w:r>
    </w:p>
    <w:p w14:paraId="5A0A9AF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Счета, принятые к оплате, формируются в информационной системе фонда и направляются плательщикам на основании предъявленных медицинскими организациями к оплате счетов и реестров счетов и результатов медико-экономического контроля.</w:t>
      </w:r>
    </w:p>
    <w:p w14:paraId="63E708E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Методические указания о предоставлении информации и документов на рассмотрение Комиссии, в том числе правила и сроки обращения медицинских и страховых медицинских организаций, определяются решением Комиссии.</w:t>
      </w:r>
    </w:p>
    <w:p w14:paraId="314E9C8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5.5. Настоящее тарифное соглашение составлено в двух идентичных экземплярах, имеющих равную юридическую силу: один экземпляр тарифного соглашения хранится в министерстве, второй – в фонде.</w:t>
      </w:r>
    </w:p>
    <w:p w14:paraId="2FD8C45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68"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5.6. Тарифное соглашение включает приложения, перечисленные в таблице 2 настоящего тарифного соглашения.</w:t>
      </w:r>
    </w:p>
    <w:p w14:paraId="29F1CFE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3CC243B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right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Таблица 2</w:t>
      </w:r>
    </w:p>
    <w:p w14:paraId="03AB7E3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6515140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/>
        <w:jc w:val="center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>Реестр приложений к настоящему тарифному соглашению</w:t>
      </w:r>
    </w:p>
    <w:p w14:paraId="74AE8F3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tbl>
      <w:tblPr>
        <w:tblStyle w:val="3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73"/>
        <w:gridCol w:w="7350"/>
      </w:tblGrid>
      <w:tr w14:paraId="7C7EB55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D5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№ стр.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E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Номер приложения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450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Наименование приложения</w:t>
            </w:r>
          </w:p>
        </w:tc>
      </w:tr>
      <w:tr w14:paraId="75D857E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00F1CD">
            <w:pPr>
              <w:spacing w:after="0" w:line="240" w:lineRule="auto"/>
            </w:pP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1B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91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</w:t>
            </w:r>
          </w:p>
        </w:tc>
      </w:tr>
      <w:tr w14:paraId="28140FA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4E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AD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2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sz w:val="24"/>
                <w:szCs w:val="24"/>
                <w:highlight w:val="white"/>
              </w:rPr>
            </w:pPr>
            <w:r>
              <w:fldChar w:fldCharType="begin"/>
            </w:r>
            <w:r>
              <w:instrText xml:space="preserve"> HYPERLINK "https://login.consultant.ru/link/?req=doc&amp;base=RLAW077&amp;n=246852&amp;dst=100322&amp;field=134&amp;date=01.12.2025" \o "https://login.consultant.ru/link/?req=doc&amp;base=RLAW077&amp;n=246852&amp;dst=100322&amp;field=134&amp;date=01.12.2025" </w:instrText>
            </w:r>
            <w:r>
              <w:fldChar w:fldCharType="separate"/>
            </w:r>
            <w:r>
              <w:rPr>
                <w:rStyle w:val="15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  <w14:textFill>
                  <w14:solidFill>
                    <w14:schemeClr w14:val="tx1"/>
                  </w14:solidFill>
                </w14:textFill>
              </w:rPr>
              <w:t>Перечень</w:t>
            </w:r>
            <w:r>
              <w:rPr>
                <w:rStyle w:val="15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основных терминов, понятий и сокращений, применяемых в настоящем тарифном соглашении</w:t>
            </w:r>
          </w:p>
        </w:tc>
      </w:tr>
      <w:tr w14:paraId="5C39625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90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DF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C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"https://login.consultant.ru/link/?req=doc&amp;base=RLAW077&amp;n=246852&amp;dst=100391&amp;field=134&amp;date=01.12.2025" \o "https://login.consultant.ru/link/?req=doc&amp;base=RLAW077&amp;n=246852&amp;dst=100391&amp;field=134&amp;date=01.12.2025" </w:instrText>
            </w:r>
            <w:r>
              <w:fldChar w:fldCharType="separate"/>
            </w:r>
            <w:r>
              <w:rPr>
                <w:rStyle w:val="15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  <w14:textFill>
                  <w14:solidFill>
                    <w14:schemeClr w14:val="tx1"/>
                  </w14:solidFill>
                </w14:textFill>
              </w:rPr>
              <w:t>Порядок</w:t>
            </w:r>
            <w:r>
              <w:rPr>
                <w:rStyle w:val="15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  <w:t xml:space="preserve"> применения показателей результативности деятельности медицинских организаций на территории Ставропольского края</w:t>
            </w:r>
          </w:p>
        </w:tc>
      </w:tr>
      <w:tr w14:paraId="450B7B4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F2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3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E5B7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медицинских организаций, оказывающих медицинскую помощь в амбулаторных, стационарных условиях, в условиях дневного стационара и скорой медицинской помощи.</w:t>
            </w:r>
          </w:p>
        </w:tc>
      </w:tr>
      <w:tr w14:paraId="3E3F4D4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A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B2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13AF4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КСГ, оплата случаев оказания медицинской помощи относимых к которым осуществляется по тарифу КСГ независимо от фактического пребывания пациента в стационарных условиях и условиях дневного стационара</w:t>
            </w:r>
          </w:p>
        </w:tc>
      </w:tr>
      <w:tr w14:paraId="024C69C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5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8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62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Особенности применения способов оплаты отдельных случаев оказания медицинской помощи</w:t>
            </w:r>
          </w:p>
        </w:tc>
      </w:tr>
      <w:tr w14:paraId="6CD9784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D1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82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Порядок расчета тарифов на оплату медицинской помощи по обязательному медицинскому страхованию на территории Ставропольского края</w:t>
            </w:r>
          </w:p>
        </w:tc>
      </w:tr>
      <w:tr w14:paraId="2DB98DA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5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29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354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Дифференцированные подушевые нормативы финансирования медицинской помощи в амбулаторных условиях и коэффициенты, применяемые при их определении </w:t>
            </w:r>
          </w:p>
        </w:tc>
      </w:tr>
      <w:tr w14:paraId="34702F4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BB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4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9D1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отдельных диагностических (лабораторных) исследований</w:t>
            </w:r>
          </w:p>
        </w:tc>
      </w:tr>
      <w:tr w14:paraId="02F0709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38F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7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E61B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первичной врачебной и доврачебной медико-санитарной помощи, первичной специализированной медико-санитарной помощи</w:t>
            </w:r>
          </w:p>
        </w:tc>
      </w:tr>
      <w:tr w14:paraId="109A7D6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B9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F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26C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>Тарифы диспансеризации определенных групп населения</w:t>
            </w:r>
          </w:p>
        </w:tc>
      </w:tr>
      <w:tr w14:paraId="634EFE8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3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9B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787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комплексных посещений при проведении профилактических медицинских осмотров определенных групп населения</w:t>
            </w:r>
          </w:p>
        </w:tc>
      </w:tr>
      <w:tr w14:paraId="24B7353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7CC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93D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6AA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комплексных посещений для проведения диспансерного наблюдения</w:t>
            </w:r>
          </w:p>
        </w:tc>
      </w:tr>
      <w:tr w14:paraId="0ADABA7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FB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303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9B252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услуг диализа</w:t>
            </w:r>
          </w:p>
        </w:tc>
      </w:tr>
      <w:tr w14:paraId="017A97A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8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F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D3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стоматологических лечебно-диагностических услуг</w:t>
            </w:r>
          </w:p>
        </w:tc>
      </w:tr>
      <w:tr w14:paraId="7FF0EEA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A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C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AD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фельдшерских здравпунктов и фельдшерско-акушерских пунктов медицинских организаций, оказывающих медицинскую помощь в амбулаторных условиях, имеющих прикрепившихся лиц, финансовое обеспечение которых осуществляется по ФРФОфап</w:t>
            </w:r>
          </w:p>
        </w:tc>
      </w:tr>
      <w:tr w14:paraId="74AD1D1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023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16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62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16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B4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медицинской помощи, оказываемой за счет средств ОМС в стационарных условиях</w:t>
            </w:r>
          </w:p>
        </w:tc>
      </w:tr>
      <w:tr w14:paraId="042806B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97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17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481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17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5594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медицинской помощи, оказываемой за счет средств ОМС в условиях дневного стационара</w:t>
            </w:r>
          </w:p>
        </w:tc>
      </w:tr>
      <w:tr w14:paraId="683E14C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E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C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18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3A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высокотехнологичной медицинской помощи, оказываемой за счет средств ОМС в стационарных условиях</w:t>
            </w:r>
          </w:p>
        </w:tc>
      </w:tr>
      <w:tr w14:paraId="673A5DA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008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19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B0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19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062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и основания применения КСЛП к тарифам КСГ на оплату медицинской помощи, оказываемой в стационарных условиях</w:t>
            </w:r>
          </w:p>
        </w:tc>
      </w:tr>
      <w:tr w14:paraId="1A1E071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CD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A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38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88" w:lineRule="atLeast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КСГ, при формировании стоимости случая лечения в условиях круглосуточного и дневного стационара, по которым применяется КПУ равный 1</w:t>
            </w:r>
          </w:p>
        </w:tc>
      </w:tr>
      <w:tr w14:paraId="586770B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7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4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21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A29E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КСГ, оплата случаев оказания медицинской помощи в стационарных условиях и в условиях дневного стационара предполагают хирургическое вмешательство либо выполнение тромболитической терапии</w:t>
            </w:r>
          </w:p>
        </w:tc>
      </w:tr>
      <w:tr w14:paraId="00728B1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1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0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22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76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Дифференцированные подушевые нормативы финансирования скорой медицинской помощи и коэффициенты, применяемые при их определении</w:t>
            </w:r>
          </w:p>
        </w:tc>
      </w:tr>
      <w:tr w14:paraId="2456A00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D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30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23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7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вызова на оплату скорой медицинской помощи</w:t>
            </w:r>
          </w:p>
        </w:tc>
      </w:tr>
      <w:tr w14:paraId="02CC06E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6D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ED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24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DC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Тарифы на оплату первичной специализированной медико-санитарной помощи, оказываемой в амбулаторных условиях по страховым случаям, установленным в дополнение к базовой программе ОМС</w:t>
            </w:r>
          </w:p>
        </w:tc>
      </w:tr>
      <w:tr w14:paraId="6CD08E1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13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9A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25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45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Значение коэффициентов для определения размера неоплаты или неполной оплаты затрат медицинской организации на оказание медицинской помощи и размера штрафа за неоказание, несвоевременное оказание либо оказание медицинской помощи ненадлежащего качества</w:t>
            </w:r>
          </w:p>
        </w:tc>
      </w:tr>
      <w:tr w14:paraId="47EBF41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91C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26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64A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26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34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МКБ 10, при которых выставление случаев на оплату по двум КСГ возможно в случае пребывания в отделении патологии беременности не менее двух дней</w:t>
            </w:r>
          </w:p>
        </w:tc>
      </w:tr>
      <w:tr w14:paraId="6E04EEB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CD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27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9B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27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18A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КСГ, при которых правило предъявления случая оказания медицинской помощи по тарифу КСГ большей стоимости не применяется</w:t>
            </w:r>
          </w:p>
        </w:tc>
      </w:tr>
      <w:tr w14:paraId="18B4904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01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09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28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959E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КСГ, по которым осуществляется оплата случаев лекарственной терапии взрослых со злокачественными новообразованиями лимфоидной и кроветворной тканей в стационарных условиях и условиях дневного стационара</w:t>
            </w:r>
          </w:p>
        </w:tc>
      </w:tr>
      <w:tr w14:paraId="1094FD6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2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29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50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29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EBE8"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медицинских услуг, для предъявления к оплате случаев оказания медицинской помощи по тарифу КСГ «Родоразрешение»</w:t>
            </w:r>
          </w:p>
        </w:tc>
      </w:tr>
      <w:tr w14:paraId="51B1CB7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D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D4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A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лекарственных препаратов для проведения противоопухолевой лекарственной терапии, при назначении которых необходимо обязательное проведение молекулярно-генетических исследований</w:t>
            </w:r>
          </w:p>
        </w:tc>
      </w:tr>
      <w:tr w14:paraId="338AB41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1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F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>31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435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Перечень медицинских организаций, оказывающих процедуру экстракорпорального оплодотворения в условиях дневного стационара</w:t>
            </w:r>
          </w:p>
        </w:tc>
      </w:tr>
    </w:tbl>
    <w:p w14:paraId="6B2C86B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2638ED9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5.7. Дополнительное соглашение к настоящему тарифному соглашению вступает в силу с даты установленной соответствующим дополнительным соглашением, и составляется в двух идентичных экземплярах, имеющих равную юридическую силу: один экземпляр дополнительного соглашения хранится в министерстве, второй – в фонде. </w:t>
      </w:r>
    </w:p>
    <w:p w14:paraId="70FF0B2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> </w:t>
      </w:r>
    </w:p>
    <w:p w14:paraId="035C90F9">
      <w:pPr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aps/>
          <w:sz w:val="28"/>
          <w:szCs w:val="28"/>
          <w:highlight w:val="white"/>
        </w:rPr>
        <w:t xml:space="preserve">Подписи уполномоченных представителей </w:t>
      </w:r>
      <w:r>
        <w:rPr>
          <w:rFonts w:ascii="Times New Roman" w:hAnsi="Times New Roman" w:eastAsia="Times New Roman" w:cs="Times New Roman"/>
          <w:caps/>
          <w:sz w:val="28"/>
          <w:szCs w:val="28"/>
        </w:rPr>
        <w:t>сторон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</w:p>
    <w:p w14:paraId="113248D9">
      <w:pPr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563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667"/>
        <w:gridCol w:w="4535"/>
      </w:tblGrid>
      <w:tr w14:paraId="7D8AB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4361" w:type="dxa"/>
          </w:tcPr>
          <w:p w14:paraId="51215CA3">
            <w:pPr>
              <w:pStyle w:val="182"/>
              <w:widowControl w:val="0"/>
              <w:spacing w:line="240" w:lineRule="exact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 xml:space="preserve">Министр здравоохранения </w:t>
            </w:r>
          </w:p>
          <w:p w14:paraId="07EBAEB6">
            <w:pPr>
              <w:pStyle w:val="182"/>
              <w:widowControl w:val="0"/>
              <w:spacing w:line="240" w:lineRule="exact"/>
              <w:ind w:left="0" w:right="-51" w:firstLine="0"/>
              <w:jc w:val="left"/>
              <w:rPr>
                <w:highlight w:val="white"/>
              </w:rPr>
            </w:pPr>
            <w:r>
              <w:rPr>
                <w:highlight w:val="white"/>
              </w:rPr>
              <w:t>Ставропольского края</w:t>
            </w:r>
          </w:p>
          <w:p w14:paraId="779A3941">
            <w:pPr>
              <w:pStyle w:val="182"/>
              <w:widowControl w:val="0"/>
              <w:spacing w:line="240" w:lineRule="exact"/>
              <w:ind w:left="0" w:right="-51" w:firstLine="0"/>
              <w:jc w:val="left"/>
              <w:rPr>
                <w:sz w:val="24"/>
                <w:highlight w:val="white"/>
              </w:rPr>
            </w:pPr>
          </w:p>
          <w:p w14:paraId="72937B34">
            <w:pPr>
              <w:pStyle w:val="182"/>
              <w:widowControl w:val="0"/>
              <w:spacing w:line="240" w:lineRule="exact"/>
              <w:ind w:left="0" w:right="-51" w:firstLine="0"/>
              <w:jc w:val="left"/>
              <w:rPr>
                <w:sz w:val="24"/>
                <w:highlight w:val="white"/>
              </w:rPr>
            </w:pPr>
          </w:p>
          <w:p w14:paraId="1EEA7F31">
            <w:pPr>
              <w:pStyle w:val="182"/>
              <w:widowControl w:val="0"/>
              <w:spacing w:line="240" w:lineRule="exact"/>
              <w:ind w:left="0" w:right="-51" w:firstLine="0"/>
              <w:jc w:val="left"/>
              <w:rPr>
                <w:sz w:val="24"/>
                <w:highlight w:val="white"/>
              </w:rPr>
            </w:pPr>
          </w:p>
          <w:p w14:paraId="251E33AC">
            <w:pPr>
              <w:pStyle w:val="182"/>
              <w:widowControl w:val="0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>________________ Ю.В. Литвинов</w:t>
            </w:r>
          </w:p>
          <w:p w14:paraId="12B12228">
            <w:pPr>
              <w:pStyle w:val="182"/>
              <w:widowControl w:val="0"/>
              <w:ind w:left="0" w:right="-51" w:firstLine="0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>«____»_______________ 2025 года</w:t>
            </w:r>
          </w:p>
        </w:tc>
        <w:tc>
          <w:tcPr>
            <w:tcW w:w="667" w:type="dxa"/>
          </w:tcPr>
          <w:p w14:paraId="307815C0">
            <w:pPr>
              <w:pStyle w:val="182"/>
              <w:widowControl w:val="0"/>
              <w:ind w:right="-51"/>
              <w:jc w:val="center"/>
            </w:pPr>
          </w:p>
        </w:tc>
        <w:tc>
          <w:tcPr>
            <w:tcW w:w="4535" w:type="dxa"/>
          </w:tcPr>
          <w:p w14:paraId="09E72997">
            <w:pPr>
              <w:pStyle w:val="182"/>
              <w:widowControl w:val="0"/>
              <w:spacing w:line="240" w:lineRule="exact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Территориального фонда </w:t>
            </w:r>
          </w:p>
          <w:p w14:paraId="04333A3C">
            <w:pPr>
              <w:pStyle w:val="182"/>
              <w:widowControl w:val="0"/>
              <w:spacing w:line="240" w:lineRule="exact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 xml:space="preserve">обязательного медицинского </w:t>
            </w:r>
          </w:p>
          <w:p w14:paraId="3C4DC200">
            <w:pPr>
              <w:pStyle w:val="182"/>
              <w:widowControl w:val="0"/>
              <w:spacing w:line="240" w:lineRule="exact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>страхования Ставропольского края</w:t>
            </w:r>
          </w:p>
          <w:p w14:paraId="0E18484E">
            <w:pPr>
              <w:pStyle w:val="182"/>
              <w:widowControl w:val="0"/>
              <w:spacing w:line="240" w:lineRule="exact"/>
              <w:ind w:left="0" w:right="-51" w:firstLine="0"/>
              <w:rPr>
                <w:sz w:val="24"/>
                <w:szCs w:val="24"/>
                <w:highlight w:val="white"/>
              </w:rPr>
            </w:pPr>
          </w:p>
          <w:p w14:paraId="549A84B1">
            <w:pPr>
              <w:pStyle w:val="182"/>
              <w:widowControl w:val="0"/>
              <w:spacing w:line="240" w:lineRule="exact"/>
              <w:ind w:left="0" w:right="-51" w:firstLine="0"/>
              <w:rPr>
                <w:sz w:val="24"/>
                <w:szCs w:val="24"/>
                <w:highlight w:val="white"/>
              </w:rPr>
            </w:pPr>
          </w:p>
          <w:p w14:paraId="46E16885">
            <w:pPr>
              <w:pStyle w:val="182"/>
              <w:widowControl w:val="0"/>
              <w:ind w:left="0" w:right="-51" w:firstLine="0"/>
              <w:rPr>
                <w:highlight w:val="white"/>
              </w:rPr>
            </w:pPr>
            <w:r>
              <w:rPr>
                <w:highlight w:val="white"/>
              </w:rPr>
              <w:t>________________</w:t>
            </w:r>
            <w:r>
              <w:rPr>
                <w:rStyle w:val="183"/>
                <w:highlight w:val="white"/>
              </w:rPr>
              <w:t xml:space="preserve">Н.С. </w:t>
            </w:r>
            <w:r>
              <w:rPr>
                <w:highlight w:val="white"/>
              </w:rPr>
              <w:t>Павличенко</w:t>
            </w:r>
          </w:p>
          <w:p w14:paraId="50739793">
            <w:pPr>
              <w:pStyle w:val="182"/>
              <w:widowControl w:val="0"/>
              <w:ind w:left="0" w:right="-51" w:firstLine="0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>«____»________________ 2025 года</w:t>
            </w:r>
          </w:p>
        </w:tc>
      </w:tr>
      <w:tr w14:paraId="58F1A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61" w:type="dxa"/>
          </w:tcPr>
          <w:p w14:paraId="4D113775">
            <w:pPr>
              <w:pStyle w:val="182"/>
              <w:widowControl w:val="0"/>
              <w:spacing w:line="240" w:lineRule="exact"/>
              <w:ind w:left="0" w:right="-51" w:firstLine="0"/>
            </w:pPr>
          </w:p>
        </w:tc>
        <w:tc>
          <w:tcPr>
            <w:tcW w:w="667" w:type="dxa"/>
          </w:tcPr>
          <w:p w14:paraId="28895075">
            <w:pPr>
              <w:pStyle w:val="182"/>
              <w:widowControl w:val="0"/>
              <w:ind w:right="-51"/>
              <w:jc w:val="center"/>
            </w:pPr>
          </w:p>
        </w:tc>
        <w:tc>
          <w:tcPr>
            <w:tcW w:w="4535" w:type="dxa"/>
          </w:tcPr>
          <w:p w14:paraId="36E060E3">
            <w:pPr>
              <w:pStyle w:val="182"/>
              <w:widowControl w:val="0"/>
              <w:spacing w:line="240" w:lineRule="exact"/>
              <w:ind w:left="0" w:right="-51" w:firstLine="0"/>
              <w:rPr>
                <w:highlight w:val="yellow"/>
              </w:rPr>
            </w:pPr>
          </w:p>
        </w:tc>
      </w:tr>
      <w:tr w14:paraId="61854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4361" w:type="dxa"/>
          </w:tcPr>
          <w:p w14:paraId="4A0AEB71">
            <w:pPr>
              <w:widowControl w:val="0"/>
              <w:spacing w:line="221" w:lineRule="exact"/>
              <w:ind w:right="-5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Директор Ставропольского филиала АО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«Страховая компания «СОГАЗ-Мед»</w:t>
            </w:r>
          </w:p>
          <w:p w14:paraId="1FF73814">
            <w:pPr>
              <w:pStyle w:val="182"/>
              <w:widowControl w:val="0"/>
              <w:spacing w:line="255" w:lineRule="atLeast"/>
              <w:ind w:left="0" w:right="-51" w:firstLine="0"/>
            </w:pPr>
          </w:p>
          <w:p w14:paraId="6A2F0B90">
            <w:pPr>
              <w:pStyle w:val="182"/>
              <w:widowControl w:val="0"/>
              <w:spacing w:line="255" w:lineRule="atLeast"/>
              <w:ind w:left="0" w:right="-51" w:firstLine="0"/>
            </w:pPr>
          </w:p>
          <w:p w14:paraId="29DB8B46">
            <w:pPr>
              <w:pStyle w:val="182"/>
              <w:widowControl w:val="0"/>
              <w:ind w:left="0" w:right="-51" w:firstLine="0"/>
            </w:pPr>
            <w:r>
              <w:t>_______________  Н.М. Зингерова</w:t>
            </w:r>
          </w:p>
          <w:p w14:paraId="667ACED9">
            <w:pPr>
              <w:pStyle w:val="182"/>
              <w:widowControl w:val="0"/>
              <w:ind w:left="0" w:right="-51" w:firstLine="0"/>
            </w:pPr>
            <w:r>
              <w:rPr>
                <w:rStyle w:val="183"/>
              </w:rPr>
              <w:t xml:space="preserve">«____»_______________ </w:t>
            </w:r>
            <w:r>
              <w:rPr>
                <w:rStyle w:val="183"/>
                <w:highlight w:val="white"/>
              </w:rPr>
              <w:t>2025 г</w:t>
            </w:r>
            <w:r>
              <w:rPr>
                <w:rStyle w:val="183"/>
              </w:rPr>
              <w:t>ода</w:t>
            </w:r>
          </w:p>
        </w:tc>
        <w:tc>
          <w:tcPr>
            <w:tcW w:w="667" w:type="dxa"/>
          </w:tcPr>
          <w:p w14:paraId="105E538B">
            <w:pPr>
              <w:pStyle w:val="182"/>
              <w:widowControl w:val="0"/>
              <w:ind w:right="-51"/>
              <w:jc w:val="center"/>
            </w:pPr>
          </w:p>
        </w:tc>
        <w:tc>
          <w:tcPr>
            <w:tcW w:w="4535" w:type="dxa"/>
          </w:tcPr>
          <w:p w14:paraId="0DB7C6E1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 xml:space="preserve">Президент  </w:t>
            </w:r>
          </w:p>
          <w:p w14:paraId="5E554EDF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 xml:space="preserve">общественной организации </w:t>
            </w:r>
          </w:p>
          <w:p w14:paraId="09BFB681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 xml:space="preserve">«Врачи Ставропольского края» </w:t>
            </w:r>
          </w:p>
          <w:p w14:paraId="1AC91F26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</w:p>
          <w:p w14:paraId="30BCB5B2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</w:p>
          <w:p w14:paraId="52932CAE">
            <w:pPr>
              <w:pStyle w:val="182"/>
              <w:spacing w:line="240" w:lineRule="exact"/>
              <w:ind w:left="0" w:firstLine="0"/>
              <w:jc w:val="left"/>
              <w:rPr>
                <w:highlight w:val="white"/>
              </w:rPr>
            </w:pPr>
          </w:p>
          <w:p w14:paraId="7325DFD5">
            <w:pPr>
              <w:pStyle w:val="182"/>
              <w:ind w:left="0" w:firstLine="0"/>
              <w:jc w:val="left"/>
              <w:rPr>
                <w:highlight w:val="white"/>
              </w:rPr>
            </w:pPr>
            <w:r>
              <w:rPr>
                <w:highlight w:val="white"/>
              </w:rPr>
              <w:t>__________________   М.А. Земцов</w:t>
            </w:r>
          </w:p>
          <w:p w14:paraId="0F08D94E">
            <w:pPr>
              <w:pStyle w:val="182"/>
              <w:widowControl w:val="0"/>
              <w:ind w:left="0" w:right="-51" w:firstLine="0"/>
              <w:rPr>
                <w:highlight w:val="white"/>
              </w:rPr>
            </w:pPr>
            <w:r>
              <w:rPr>
                <w:rStyle w:val="183"/>
                <w:highlight w:val="white"/>
              </w:rPr>
              <w:t>«____»________________ 2025 года</w:t>
            </w:r>
          </w:p>
        </w:tc>
      </w:tr>
      <w:tr w14:paraId="0B4AD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4361" w:type="dxa"/>
          </w:tcPr>
          <w:p w14:paraId="500C47C9">
            <w:pPr>
              <w:pStyle w:val="182"/>
              <w:widowControl w:val="0"/>
              <w:spacing w:line="240" w:lineRule="exact"/>
              <w:ind w:left="0" w:right="-51" w:firstLine="0"/>
              <w:rPr>
                <w:rStyle w:val="183"/>
              </w:rPr>
            </w:pPr>
          </w:p>
        </w:tc>
        <w:tc>
          <w:tcPr>
            <w:tcW w:w="667" w:type="dxa"/>
          </w:tcPr>
          <w:p w14:paraId="022ABCD2">
            <w:pPr>
              <w:pStyle w:val="182"/>
              <w:widowControl w:val="0"/>
              <w:ind w:right="-51"/>
              <w:jc w:val="center"/>
            </w:pPr>
          </w:p>
        </w:tc>
        <w:tc>
          <w:tcPr>
            <w:tcW w:w="4535" w:type="dxa"/>
          </w:tcPr>
          <w:p w14:paraId="3C9A6CC0">
            <w:pPr>
              <w:pStyle w:val="182"/>
              <w:spacing w:line="240" w:lineRule="exact"/>
              <w:ind w:left="0" w:firstLine="0"/>
              <w:jc w:val="left"/>
              <w:rPr>
                <w:rStyle w:val="183"/>
              </w:rPr>
            </w:pPr>
          </w:p>
        </w:tc>
      </w:tr>
      <w:tr w14:paraId="2CA56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7" w:hRule="atLeast"/>
        </w:trPr>
        <w:tc>
          <w:tcPr>
            <w:tcW w:w="4361" w:type="dxa"/>
          </w:tcPr>
          <w:p w14:paraId="525592D7">
            <w:pPr>
              <w:widowControl w:val="0"/>
              <w:spacing w:line="240" w:lineRule="exact"/>
              <w:ind w:righ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Заместитель директора по            экономическим вопросам административного обособленного структурного подразделения ООО «СК «Ингосстрах-М» - филиала в г. Ставрополе</w:t>
            </w:r>
          </w:p>
          <w:p w14:paraId="37EF1CEB">
            <w:pPr>
              <w:widowControl w:val="0"/>
              <w:spacing w:line="240" w:lineRule="exact"/>
              <w:ind w:righ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542E7">
            <w:pPr>
              <w:widowControl w:val="0"/>
              <w:ind w:righ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_______________Ю.А.Терещенко</w:t>
            </w:r>
          </w:p>
          <w:p w14:paraId="75548875">
            <w:pPr>
              <w:pStyle w:val="182"/>
              <w:widowControl w:val="0"/>
              <w:ind w:left="0" w:right="-51" w:firstLine="0"/>
              <w:rPr>
                <w:rStyle w:val="183"/>
              </w:rPr>
            </w:pPr>
            <w:r>
              <w:t>«____»_______________</w:t>
            </w:r>
            <w:r>
              <w:rPr>
                <w:highlight w:val="white"/>
              </w:rPr>
              <w:t xml:space="preserve"> 2025 </w:t>
            </w:r>
            <w:r>
              <w:t>года</w:t>
            </w:r>
          </w:p>
        </w:tc>
        <w:tc>
          <w:tcPr>
            <w:tcW w:w="667" w:type="dxa"/>
          </w:tcPr>
          <w:p w14:paraId="4703EA1D">
            <w:pPr>
              <w:pStyle w:val="182"/>
              <w:widowControl w:val="0"/>
              <w:ind w:right="-51"/>
              <w:jc w:val="center"/>
            </w:pPr>
          </w:p>
        </w:tc>
        <w:tc>
          <w:tcPr>
            <w:tcW w:w="4535" w:type="dxa"/>
          </w:tcPr>
          <w:p w14:paraId="7C392CE1">
            <w:pPr>
              <w:pStyle w:val="182"/>
              <w:spacing w:line="240" w:lineRule="exact"/>
              <w:ind w:left="0" w:firstLine="0"/>
              <w:jc w:val="left"/>
              <w:rPr>
                <w:rStyle w:val="183"/>
              </w:rPr>
            </w:pPr>
            <w:r>
              <w:rPr>
                <w:rStyle w:val="183"/>
              </w:rPr>
              <w:t xml:space="preserve">Председатель Ставропольской </w:t>
            </w:r>
          </w:p>
          <w:p w14:paraId="387BA57B">
            <w:pPr>
              <w:pStyle w:val="182"/>
              <w:spacing w:line="240" w:lineRule="exact"/>
              <w:ind w:left="0" w:firstLine="0"/>
              <w:jc w:val="left"/>
              <w:rPr>
                <w:rStyle w:val="183"/>
              </w:rPr>
            </w:pPr>
            <w:r>
              <w:rPr>
                <w:rStyle w:val="183"/>
              </w:rPr>
              <w:t xml:space="preserve">краевой организации профсоюза работников здравоохранения </w:t>
            </w:r>
          </w:p>
          <w:p w14:paraId="7A882F54">
            <w:pPr>
              <w:pStyle w:val="182"/>
              <w:spacing w:line="240" w:lineRule="exact"/>
              <w:ind w:left="0" w:firstLine="0"/>
              <w:jc w:val="left"/>
              <w:rPr>
                <w:rStyle w:val="183"/>
              </w:rPr>
            </w:pPr>
            <w:r>
              <w:rPr>
                <w:rStyle w:val="183"/>
              </w:rPr>
              <w:t>Российской Федерации</w:t>
            </w:r>
          </w:p>
          <w:p w14:paraId="558CACF0">
            <w:pPr>
              <w:pStyle w:val="182"/>
              <w:ind w:left="0" w:firstLine="0"/>
              <w:jc w:val="left"/>
              <w:rPr>
                <w:rStyle w:val="183"/>
              </w:rPr>
            </w:pPr>
          </w:p>
          <w:p w14:paraId="10D3641C">
            <w:pPr>
              <w:pStyle w:val="182"/>
              <w:ind w:left="0" w:firstLine="0"/>
              <w:jc w:val="left"/>
              <w:rPr>
                <w:rStyle w:val="183"/>
              </w:rPr>
            </w:pPr>
          </w:p>
          <w:p w14:paraId="18B42F63">
            <w:pPr>
              <w:pStyle w:val="182"/>
              <w:ind w:left="0" w:firstLine="0"/>
              <w:jc w:val="left"/>
              <w:rPr>
                <w:sz w:val="24"/>
                <w:szCs w:val="24"/>
              </w:rPr>
            </w:pPr>
          </w:p>
          <w:p w14:paraId="538A98B1">
            <w:pPr>
              <w:pStyle w:val="182"/>
              <w:ind w:left="0" w:firstLine="0"/>
              <w:jc w:val="left"/>
              <w:rPr>
                <w:sz w:val="24"/>
                <w:szCs w:val="24"/>
              </w:rPr>
            </w:pPr>
          </w:p>
          <w:p w14:paraId="0710B331">
            <w:pPr>
              <w:pStyle w:val="182"/>
              <w:ind w:left="0" w:firstLine="0"/>
              <w:jc w:val="left"/>
            </w:pPr>
            <w:r>
              <w:t>____________________А.И. Кривко</w:t>
            </w:r>
          </w:p>
          <w:p w14:paraId="26B72011">
            <w:pPr>
              <w:pStyle w:val="182"/>
              <w:ind w:left="0" w:firstLine="0"/>
              <w:jc w:val="left"/>
              <w:rPr>
                <w:sz w:val="16"/>
                <w:szCs w:val="16"/>
              </w:rPr>
            </w:pPr>
          </w:p>
          <w:p w14:paraId="5A55E7AB">
            <w:pPr>
              <w:pStyle w:val="182"/>
              <w:ind w:left="0" w:firstLine="0"/>
              <w:jc w:val="left"/>
              <w:rPr>
                <w:rStyle w:val="183"/>
              </w:rPr>
            </w:pPr>
            <w:r>
              <w:rPr>
                <w:rStyle w:val="183"/>
              </w:rPr>
              <w:t xml:space="preserve">«____»________________ </w:t>
            </w:r>
            <w:r>
              <w:rPr>
                <w:rStyle w:val="183"/>
                <w:highlight w:val="white"/>
              </w:rPr>
              <w:t>2025 го</w:t>
            </w:r>
            <w:r>
              <w:rPr>
                <w:rStyle w:val="183"/>
              </w:rPr>
              <w:t>да</w:t>
            </w:r>
          </w:p>
        </w:tc>
      </w:tr>
    </w:tbl>
    <w:p w14:paraId="6166B44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3C1F97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88" w:lineRule="atLeast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headerReference r:id="rId6" w:type="first"/>
      <w:footerReference r:id="rId7" w:type="first"/>
      <w:headerReference r:id="rId5" w:type="default"/>
      <w:pgSz w:w="11906" w:h="16838"/>
      <w:pgMar w:top="1134" w:right="850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ACE51">
    <w:pPr>
      <w:pStyle w:val="3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8DA71">
    <w:pPr>
      <w:pStyle w:val="20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>1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</w:p>
  <w:p w14:paraId="2F110A2D">
    <w:pPr>
      <w:pStyle w:val="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F1F74">
    <w:pPr>
      <w:pStyle w:val="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D4"/>
    <w:rsid w:val="002C368C"/>
    <w:rsid w:val="00DF43D4"/>
    <w:rsid w:val="00E0068C"/>
    <w:rsid w:val="35CC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8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link w:val="51"/>
    <w:semiHidden/>
    <w:unhideWhenUsed/>
    <w:qFormat/>
    <w:uiPriority w:val="35"/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7"/>
    <w:semiHidden/>
    <w:unhideWhenUsed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49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uiPriority w:val="99"/>
    <w:pPr>
      <w:spacing w:after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uiPriority w:val="39"/>
    <w:pPr>
      <w:spacing w:after="57"/>
      <w:ind w:left="1134"/>
    </w:pPr>
  </w:style>
  <w:style w:type="paragraph" w:styleId="30">
    <w:name w:val="Title"/>
    <w:basedOn w:val="1"/>
    <w:next w:val="1"/>
    <w:link w:val="43"/>
    <w:qFormat/>
    <w:uiPriority w:val="10"/>
    <w:pPr>
      <w:spacing w:before="300"/>
      <w:contextualSpacing/>
    </w:pPr>
    <w:rPr>
      <w:sz w:val="48"/>
      <w:szCs w:val="48"/>
    </w:rPr>
  </w:style>
  <w:style w:type="paragraph" w:styleId="31">
    <w:name w:val="footer"/>
    <w:basedOn w:val="1"/>
    <w:link w:val="50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pPr>
      <w:spacing w:before="200"/>
    </w:pPr>
    <w:rPr>
      <w:sz w:val="24"/>
      <w:szCs w:val="24"/>
    </w:rPr>
  </w:style>
  <w:style w:type="table" w:styleId="33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link w:val="10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3">
    <w:name w:val="Заголовок Знак"/>
    <w:link w:val="30"/>
    <w:qFormat/>
    <w:uiPriority w:val="10"/>
    <w:rPr>
      <w:sz w:val="48"/>
      <w:szCs w:val="48"/>
    </w:rPr>
  </w:style>
  <w:style w:type="character" w:customStyle="1" w:styleId="44">
    <w:name w:val="Подзаголовок Знак"/>
    <w:link w:val="32"/>
    <w:qFormat/>
    <w:uiPriority w:val="11"/>
    <w:rPr>
      <w:sz w:val="24"/>
      <w:szCs w:val="24"/>
    </w:rPr>
  </w:style>
  <w:style w:type="paragraph" w:styleId="45">
    <w:name w:val="Quote"/>
    <w:basedOn w:val="1"/>
    <w:next w:val="1"/>
    <w:link w:val="46"/>
    <w:qFormat/>
    <w:uiPriority w:val="29"/>
    <w:pPr>
      <w:ind w:left="720" w:right="720"/>
    </w:pPr>
    <w:rPr>
      <w:i/>
    </w:rPr>
  </w:style>
  <w:style w:type="character" w:customStyle="1" w:styleId="46">
    <w:name w:val="Цитата 2 Знак"/>
    <w:link w:val="45"/>
    <w:qFormat/>
    <w:uiPriority w:val="29"/>
    <w:rPr>
      <w:i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8">
    <w:name w:val="Выделенная цитата Знак"/>
    <w:link w:val="47"/>
    <w:uiPriority w:val="30"/>
    <w:rPr>
      <w:i/>
    </w:rPr>
  </w:style>
  <w:style w:type="character" w:customStyle="1" w:styleId="49">
    <w:name w:val="Верхний колонтитул Знак"/>
    <w:link w:val="20"/>
    <w:uiPriority w:val="99"/>
  </w:style>
  <w:style w:type="character" w:customStyle="1" w:styleId="50">
    <w:name w:val="Нижний колонтитул Знак"/>
    <w:link w:val="31"/>
    <w:uiPriority w:val="99"/>
  </w:style>
  <w:style w:type="character" w:customStyle="1" w:styleId="51">
    <w:name w:val="Название объекта Знак"/>
    <w:link w:val="17"/>
    <w:uiPriority w:val="35"/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2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3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4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5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4"/>
    <w:basedOn w:val="12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5"/>
    <w:basedOn w:val="12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9">
    <w:name w:val="Grid Table 1 Light - Accent 1"/>
    <w:basedOn w:val="12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0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1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2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3">
    <w:name w:val="Grid Table 1 Light - Accent 5"/>
    <w:basedOn w:val="12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64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5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6">
    <w:name w:val="Grid Table 2 - Accent 1"/>
    <w:basedOn w:val="12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67">
    <w:name w:val="Grid Table 2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68">
    <w:name w:val="Grid Table 2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69">
    <w:name w:val="Grid Table 2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0">
    <w:name w:val="Grid Table 2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1">
    <w:name w:val="Grid Table 2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2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3 - Accent 1"/>
    <w:basedOn w:val="12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4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5">
    <w:name w:val="Grid Table 3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6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7">
    <w:name w:val="Grid Table 3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8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9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4 - Accent 1"/>
    <w:basedOn w:val="12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1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2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3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4">
    <w:name w:val="Grid Table 4 - Accent 5"/>
    <w:basedOn w:val="12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5">
    <w:name w:val="Grid Table 4 - Accent 6"/>
    <w:basedOn w:val="12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6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7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88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89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0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1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2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3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4">
    <w:name w:val="Grid Table 6 Colorful - Accent 1"/>
    <w:basedOn w:val="12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6">
    <w:name w:val="Grid Table 6 Colorful - Accent 3"/>
    <w:basedOn w:val="12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7">
    <w:name w:val="Grid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8">
    <w:name w:val="Grid Table 6 Colorful - Accent 5"/>
    <w:basedOn w:val="12"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99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0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4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6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07">
    <w:name w:val="List Table 1 Light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8">
    <w:name w:val="List Table 1 Light - Accent 1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09">
    <w:name w:val="List Table 1 Light - Accent 2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0">
    <w:name w:val="List Table 1 Light - Accent 3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1">
    <w:name w:val="List Table 1 Light - Accent 4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2">
    <w:name w:val="List Table 1 Light - Accent 5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3">
    <w:name w:val="List Table 1 Light - Accent 6"/>
    <w:basedOn w:val="1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4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2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16">
    <w:name w:val="List Table 2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17">
    <w:name w:val="List Table 2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18">
    <w:name w:val="List Table 2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19">
    <w:name w:val="List Table 2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0">
    <w:name w:val="List Table 2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1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2">
    <w:name w:val="List Table 3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3">
    <w:name w:val="List Table 3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4">
    <w:name w:val="List Table 3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5">
    <w:name w:val="List Table 3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6">
    <w:name w:val="List Table 3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27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28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9">
    <w:name w:val="List Table 4 - Accent 1"/>
    <w:basedOn w:val="12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0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1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2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3">
    <w:name w:val="List Table 4 - Accent 5"/>
    <w:basedOn w:val="12"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4">
    <w:name w:val="List Table 4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5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6">
    <w:name w:val="List Table 5 Dark - Accent 1"/>
    <w:basedOn w:val="12"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37">
    <w:name w:val="List Table 5 Dark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38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39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0">
    <w:name w:val="List Table 5 Dark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1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2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3">
    <w:name w:val="List Table 6 Colorful - Accent 1"/>
    <w:basedOn w:val="12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44">
    <w:name w:val="List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5">
    <w:name w:val="List Table 6 Colorful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6">
    <w:name w:val="List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5"/>
    <w:basedOn w:val="12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0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1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7">
    <w:name w:val="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58">
    <w:name w:val="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59">
    <w:name w:val="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0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1">
    <w:name w:val="Lined - Accent 5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2">
    <w:name w:val="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3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Bordered &amp; 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5">
    <w:name w:val="Bordered &amp; 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6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7">
    <w:name w:val="Bordered &amp; 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8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9">
    <w:name w:val="Bordered &amp; 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0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1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2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3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4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5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76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7">
    <w:name w:val="Текст сноски Знак"/>
    <w:link w:val="18"/>
    <w:qFormat/>
    <w:uiPriority w:val="99"/>
    <w:rPr>
      <w:sz w:val="18"/>
    </w:rPr>
  </w:style>
  <w:style w:type="character" w:customStyle="1" w:styleId="178">
    <w:name w:val="Текст концевой сноски Знак"/>
    <w:link w:val="16"/>
    <w:qFormat/>
    <w:uiPriority w:val="99"/>
    <w:rPr>
      <w:sz w:val="20"/>
    </w:rPr>
  </w:style>
  <w:style w:type="paragraph" w:customStyle="1" w:styleId="179">
    <w:name w:val="TOC Heading"/>
    <w:unhideWhenUsed/>
    <w:uiPriority w:val="39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0">
    <w:name w:val="No Spacing"/>
    <w:basedOn w:val="1"/>
    <w:qFormat/>
    <w:uiPriority w:val="1"/>
    <w:pPr>
      <w:spacing w:after="0" w:line="240" w:lineRule="auto"/>
    </w:p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Основной текст с отступом1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0" w:line="240" w:lineRule="auto"/>
      <w:ind w:left="-284" w:firstLine="568"/>
      <w:jc w:val="both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183">
    <w:name w:val="Основной текст Знак"/>
    <w:uiPriority w:val="0"/>
    <w:rPr>
      <w:sz w:val="28"/>
      <w:szCs w:val="28"/>
      <w:lang w:val="ru-RU" w:eastAsia="ru-RU"/>
    </w:rPr>
  </w:style>
  <w:style w:type="paragraph" w:customStyle="1" w:styleId="184">
    <w:name w:val="ConsPlusNormal"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0" w:line="240" w:lineRule="auto"/>
    </w:pPr>
    <w:rPr>
      <w:rFonts w:ascii="Times New Roman" w:hAnsi="Times New Roman" w:cs="Times New Roman" w:eastAsiaTheme="minorEastAsia"/>
      <w:sz w:val="24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9072</Words>
  <Characters>51711</Characters>
  <Lines>430</Lines>
  <Paragraphs>121</Paragraphs>
  <TotalTime>5</TotalTime>
  <ScaleCrop>false</ScaleCrop>
  <LinksUpToDate>false</LinksUpToDate>
  <CharactersWithSpaces>60662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2026-01-16T12:30:00Z</dcterms:created>
  <dc:creator>Наталья</dc:creator>
  <cp:lastModifiedBy>User</cp:lastModifiedBy>
  <dcterms:modified xsi:type="dcterms:W3CDTF">2026-01-20T09:39:50Z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7F2B5AC2B5A04A07A739554975A73CCE_13</vt:lpwstr>
  </property>
</Properties>
</file>